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74" w:rsidRDefault="006F5074" w:rsidP="006F507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broj 1 – PRETHODNA PROCJENA UTICAJA PROPISA</w:t>
      </w:r>
    </w:p>
    <w:p w:rsidR="006F5074" w:rsidRDefault="006F5074" w:rsidP="006F5074">
      <w:pPr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(Naziv nosioca izrade normativnog akta)</w:t>
      </w:r>
    </w:p>
    <w:p w:rsidR="006F5074" w:rsidRDefault="006F5074" w:rsidP="006F50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Broj: __________________</w:t>
      </w:r>
    </w:p>
    <w:p w:rsidR="006F5074" w:rsidRDefault="006F5074" w:rsidP="006F5074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Sarajevo, ______________ godine</w:t>
      </w:r>
    </w:p>
    <w:p w:rsidR="006F5074" w:rsidRDefault="006F5074" w:rsidP="006F507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Ovaj obrazac se koristi radi utvrđivanja materije koju treba obuhvatiti propisom i potrebe za provođenjem postupka sveobuhvatne procjene uticaja propisa</w:t>
      </w:r>
      <w:r>
        <w:rPr>
          <w:rFonts w:ascii="Times New Roman" w:eastAsia="Times New Roman" w:hAnsi="Times New Roman"/>
          <w:i/>
          <w:sz w:val="24"/>
          <w:szCs w:val="24"/>
        </w:rPr>
        <w:t>. Tekst označen italikom, uključujući i ovu napomenu potrebno je brisati tokom popunjavanja obrasca.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5404"/>
        <w:gridCol w:w="1235"/>
        <w:gridCol w:w="1322"/>
        <w:gridCol w:w="1327"/>
      </w:tblGrid>
      <w:tr w:rsidR="006F5074" w:rsidTr="006F5074">
        <w:tc>
          <w:tcPr>
            <w:tcW w:w="0" w:type="auto"/>
            <w:gridSpan w:val="4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4F81BD"/>
            <w:vAlign w:val="center"/>
            <w:hideMark/>
          </w:tcPr>
          <w:p w:rsidR="006F5074" w:rsidRDefault="006F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2F2F2" w:themeColor="background1" w:themeShade="F2"/>
                <w:sz w:val="20"/>
                <w:szCs w:val="20"/>
              </w:rPr>
              <w:t>PRETHODNA PROCJENA UTICAJA PROPISA</w:t>
            </w:r>
          </w:p>
        </w:tc>
      </w:tr>
      <w:tr w:rsidR="006F5074" w:rsidTr="006F5074">
        <w:trPr>
          <w:trHeight w:val="268"/>
        </w:trPr>
        <w:tc>
          <w:tcPr>
            <w:tcW w:w="52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NOSILAC NORMATIVNOG POSLA</w:t>
            </w:r>
          </w:p>
        </w:tc>
        <w:tc>
          <w:tcPr>
            <w:tcW w:w="398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5074" w:rsidTr="006F5074">
        <w:trPr>
          <w:trHeight w:val="268"/>
        </w:trPr>
        <w:tc>
          <w:tcPr>
            <w:tcW w:w="52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PROPISA</w:t>
            </w:r>
          </w:p>
        </w:tc>
        <w:tc>
          <w:tcPr>
            <w:tcW w:w="398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a) ustav,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b) sporazum,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c) zakon,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d) poslovnik,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e) odluka,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f) uputstvo,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g) pravilnik,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h) drugi opći pravni akt.</w:t>
            </w:r>
          </w:p>
        </w:tc>
      </w:tr>
      <w:tr w:rsidR="006F5074" w:rsidTr="006F5074">
        <w:trPr>
          <w:trHeight w:val="268"/>
        </w:trPr>
        <w:tc>
          <w:tcPr>
            <w:tcW w:w="52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PROPISA</w:t>
            </w:r>
          </w:p>
        </w:tc>
        <w:tc>
          <w:tcPr>
            <w:tcW w:w="398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5074" w:rsidTr="006F5074">
        <w:trPr>
          <w:trHeight w:val="268"/>
        </w:trPr>
        <w:tc>
          <w:tcPr>
            <w:tcW w:w="0" w:type="auto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Navedite pravni osnov za donošenje propisa.</w:t>
            </w:r>
          </w:p>
        </w:tc>
      </w:tr>
      <w:tr w:rsidR="006F5074" w:rsidTr="006F5074">
        <w:trPr>
          <w:trHeight w:val="268"/>
        </w:trPr>
        <w:tc>
          <w:tcPr>
            <w:tcW w:w="0" w:type="auto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Da li je prednacrt, nacrt ili prijedlog propisa u skladu sa strateškim dokumentima, politikama i prioritetima Vijeća ministara i Parlamentarne skupštine Bosne i Hercegovine, i ako da, navedite s kojim?</w:t>
            </w:r>
          </w:p>
        </w:tc>
      </w:tr>
      <w:tr w:rsidR="006F5074" w:rsidTr="006F5074">
        <w:trPr>
          <w:trHeight w:val="268"/>
        </w:trPr>
        <w:tc>
          <w:tcPr>
            <w:tcW w:w="0" w:type="auto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U skladu sa članom 9. Aneksa I ukratko opišite stanje i problem koji se namjerava riješiti.</w:t>
            </w:r>
          </w:p>
        </w:tc>
      </w:tr>
      <w:tr w:rsidR="006F5074" w:rsidTr="006F5074">
        <w:trPr>
          <w:trHeight w:val="250"/>
        </w:trPr>
        <w:tc>
          <w:tcPr>
            <w:tcW w:w="0" w:type="auto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Ukoliko imate saznanja da je isti problem postojao u zemljama Evropske unije, odnosno susjednim zemljama ukratko navedite na koji način je riješen.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Navedite najmanje dvije zemlje Evropske unije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i dvije susjedne zemlje.</w:t>
            </w:r>
          </w:p>
        </w:tc>
      </w:tr>
      <w:tr w:rsidR="006F5074" w:rsidTr="006F5074">
        <w:trPr>
          <w:trHeight w:val="250"/>
        </w:trPr>
        <w:tc>
          <w:tcPr>
            <w:tcW w:w="0" w:type="auto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Utvrdite opći cilj u skladu sa članom 10. Aneksa I.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U pravilu opći cilj propisa bi trebao već biti sadržan u srednjoročnom planu institucije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 xml:space="preserve"> BiH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, na nivou posebnog cilja, te ga je moguće preuzeti za potrebe u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tvrđivanja općeg cilja propisa.</w:t>
            </w:r>
          </w:p>
        </w:tc>
      </w:tr>
      <w:tr w:rsidR="006F5074" w:rsidTr="006F5074">
        <w:trPr>
          <w:trHeight w:val="250"/>
        </w:trPr>
        <w:tc>
          <w:tcPr>
            <w:tcW w:w="0" w:type="auto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 Navedite u nekoliko tačaka ključna pitanja/mjere koje će biti obuhvaćene propisom ili provedene putem nenormativnih aktivnosti i mjera.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Ključna pitanja/mjere se trebaju osmisliti s ciljem prevazilaženja uzroka problema iz tačke 3. ovog o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brasca.</w:t>
            </w:r>
          </w:p>
        </w:tc>
      </w:tr>
      <w:tr w:rsidR="006F5074" w:rsidTr="006F5074">
        <w:tc>
          <w:tcPr>
            <w:tcW w:w="0" w:type="auto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 Ukratko opišite postupak i rezultate prethodnih konsultacija u skladu sa članom 6. stav (5)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 po potrebi članom 20. Aneksa I.</w:t>
            </w:r>
          </w:p>
        </w:tc>
      </w:tr>
      <w:tr w:rsidR="006F5074" w:rsidTr="006F5074">
        <w:tc>
          <w:tcPr>
            <w:tcW w:w="9286" w:type="dxa"/>
            <w:gridSpan w:val="4"/>
            <w:tcBorders>
              <w:top w:val="single" w:sz="4" w:space="0" w:color="4F81BD"/>
              <w:left w:val="single" w:sz="8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Procjena uticaja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ključnih pitanja/mjera iz tačke 6. ovog obrasca u fiskalnom, ekonomskom, socijalnom i okolišnom smislu: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 – značajan ili vrlo značajan uticaj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ili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 – vjerovatno mali uticaj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6F5074" w:rsidTr="006F5074">
        <w:trPr>
          <w:trHeight w:val="956"/>
        </w:trPr>
        <w:tc>
          <w:tcPr>
            <w:tcW w:w="6629" w:type="dxa"/>
            <w:gridSpan w:val="2"/>
            <w:tcBorders>
              <w:top w:val="single" w:sz="4" w:space="0" w:color="4F81BD"/>
              <w:left w:val="single" w:sz="8" w:space="0" w:color="4F81BD"/>
              <w:bottom w:val="nil"/>
              <w:right w:val="single" w:sz="4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a) Da li jedno ili više ključnih pitanja/mjera iz tačke 6. ovog obrasca može ili ne može imati značajan ili vrlo značajan uticaj na budžet Bosne i Hercegovine, budžete entiteta, kantona, Brčko distrikta Bosne i Hercegovine i jedinica lokalne samouprave?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Ukratko navedite kakvi se fiskalni uticaji očekuju.</w:t>
            </w:r>
          </w:p>
        </w:tc>
        <w:tc>
          <w:tcPr>
            <w:tcW w:w="1309" w:type="dxa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4F81BD"/>
            </w:tcBorders>
            <w:vAlign w:val="center"/>
            <w:hideMark/>
          </w:tcPr>
          <w:p w:rsidR="006F5074" w:rsidRDefault="006F5074">
            <w:pPr>
              <w:spacing w:after="0"/>
              <w:rPr>
                <w:rFonts w:cs="Times New Roman"/>
              </w:rPr>
            </w:pPr>
          </w:p>
        </w:tc>
        <w:tc>
          <w:tcPr>
            <w:tcW w:w="1348" w:type="dxa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4F81BD"/>
            </w:tcBorders>
            <w:vAlign w:val="center"/>
            <w:hideMark/>
          </w:tcPr>
          <w:p w:rsidR="006F5074" w:rsidRDefault="006F5074">
            <w:pPr>
              <w:spacing w:after="0"/>
              <w:rPr>
                <w:rFonts w:cs="Times New Roman"/>
              </w:rPr>
            </w:pPr>
          </w:p>
        </w:tc>
      </w:tr>
      <w:tr w:rsidR="006F5074" w:rsidTr="006F5074">
        <w:tc>
          <w:tcPr>
            <w:tcW w:w="662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b) Da li jedno ili više ključnih pitanja/mjera iz tačke 6. ovog obrasca može ili ne može imati značajan ili vrlo značajan ekonomski uticaj iz člana 13. Aneksa I?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Ukratko navedite kakvi se ekonomski uticaji očekuju.</w:t>
            </w:r>
          </w:p>
        </w:tc>
        <w:tc>
          <w:tcPr>
            <w:tcW w:w="13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6F5074" w:rsidRDefault="006F5074">
            <w:pPr>
              <w:spacing w:after="0"/>
              <w:rPr>
                <w:rFonts w:cs="Times New Roman"/>
              </w:rPr>
            </w:pPr>
          </w:p>
        </w:tc>
        <w:tc>
          <w:tcPr>
            <w:tcW w:w="13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6F5074" w:rsidRDefault="006F5074">
            <w:pPr>
              <w:spacing w:after="0"/>
              <w:rPr>
                <w:rFonts w:cs="Times New Roman"/>
              </w:rPr>
            </w:pPr>
          </w:p>
        </w:tc>
      </w:tr>
      <w:tr w:rsidR="006F5074" w:rsidTr="006F5074">
        <w:tc>
          <w:tcPr>
            <w:tcW w:w="6629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c) Da li jedno ili više ključnih pitanja/mjera iz tačke 6. ovog obrasca može ili ne može imati značajan ili vrlo značajan socijalni uticaj iz člana 14. Aneksa I?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Ukratko navedite kakvi se socijalni uticaji očekuju.</w:t>
            </w:r>
          </w:p>
        </w:tc>
        <w:tc>
          <w:tcPr>
            <w:tcW w:w="13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6F5074" w:rsidRDefault="006F5074">
            <w:pPr>
              <w:spacing w:after="0"/>
              <w:rPr>
                <w:rFonts w:cs="Times New Roman"/>
              </w:rPr>
            </w:pPr>
          </w:p>
        </w:tc>
        <w:tc>
          <w:tcPr>
            <w:tcW w:w="13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6F5074" w:rsidRDefault="006F5074">
            <w:pPr>
              <w:spacing w:after="0"/>
              <w:rPr>
                <w:rFonts w:cs="Times New Roman"/>
              </w:rPr>
            </w:pPr>
          </w:p>
        </w:tc>
      </w:tr>
      <w:tr w:rsidR="006F5074" w:rsidTr="006F5074">
        <w:tc>
          <w:tcPr>
            <w:tcW w:w="6629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4F81BD"/>
              <w:right w:val="single" w:sz="4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d) Da li jedno ili više ključnih pitanja/mjera iz tačke 6. ovog obrasca može ili ne može imati značajan ili vrlo značajan okolišni uticaj iz člana 15. ovog Aneksa I?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Ukratko navedite kakvi se okolišni uticaji očekuju.</w:t>
            </w:r>
          </w:p>
        </w:tc>
        <w:tc>
          <w:tcPr>
            <w:tcW w:w="130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6F5074" w:rsidRDefault="006F5074">
            <w:pPr>
              <w:spacing w:after="0"/>
              <w:rPr>
                <w:rFonts w:cs="Times New Roman"/>
              </w:rPr>
            </w:pPr>
          </w:p>
        </w:tc>
        <w:tc>
          <w:tcPr>
            <w:tcW w:w="13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6F5074" w:rsidRDefault="006F5074">
            <w:pPr>
              <w:spacing w:after="0"/>
              <w:rPr>
                <w:rFonts w:cs="Times New Roman"/>
              </w:rPr>
            </w:pPr>
          </w:p>
        </w:tc>
      </w:tr>
    </w:tbl>
    <w:p w:rsidR="006F5074" w:rsidRDefault="006F5074" w:rsidP="006F5074">
      <w:r>
        <w:br w:type="page"/>
      </w:r>
    </w:p>
    <w:tbl>
      <w:tblPr>
        <w:tblW w:w="93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6629"/>
        <w:gridCol w:w="1276"/>
        <w:gridCol w:w="1417"/>
      </w:tblGrid>
      <w:tr w:rsidR="006F5074" w:rsidTr="006F5074">
        <w:tc>
          <w:tcPr>
            <w:tcW w:w="6629" w:type="dxa"/>
            <w:tcBorders>
              <w:top w:val="single" w:sz="4" w:space="0" w:color="4F81BD"/>
              <w:left w:val="single" w:sz="8" w:space="0" w:color="4F81BD"/>
              <w:bottom w:val="nil"/>
              <w:right w:val="single" w:sz="4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e) Da li će jedno ili više ključnih pitanja/mjera zahtijevati provođenje administrativnih postupaka vezano za interesne strane i sa kojim ciljem i hoće li navedena rješenja dodatno povećati administrativne prepreke za poslovanje?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Ukratko navedite kakvi se uticaji očekuju(npr.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: dodjela ovlaštenja,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utvrđivanje prava i/ili 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obaveza posebnim upravnim aktom,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provođenje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 xml:space="preserve"> upravnog/inspekcijskog nadzora,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pribavljanje posebnih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 xml:space="preserve"> dozvola, rješenja, saglasnosti,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povećanje ili uvođenje nove administrativne naknade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izmjene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 xml:space="preserve"> upravnog postupka i sl.).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6F5074" w:rsidRDefault="006F5074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6F5074" w:rsidRDefault="006F5074">
            <w:pPr>
              <w:spacing w:after="0"/>
              <w:rPr>
                <w:rFonts w:cs="Times New Roman"/>
              </w:rPr>
            </w:pPr>
          </w:p>
        </w:tc>
      </w:tr>
      <w:tr w:rsidR="006F5074" w:rsidTr="006F5074">
        <w:tc>
          <w:tcPr>
            <w:tcW w:w="66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hideMark/>
          </w:tcPr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f) Da li će za realizaciju jednog ili više ključnih pitanja/mjera iz tačke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6. ovog 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brasca biti potrebno osnivanje novih ili reorganizovanje postojećih organa Bosne i Hercegovine ili će biti potrebna saradnja više organa uprave Bosne i Hercegovine, entiteta, kantona, Brčko distrikta Bosne i Hercegovine i jedinica lokalne samouprave?</w:t>
            </w:r>
          </w:p>
          <w:p w:rsidR="006F5074" w:rsidRDefault="006F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Ukratko navedite organe uprave od kojih se očekuje saradnja i po mogućnosti njihove kapacitete za realizaciju takve saradnje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6F5074" w:rsidRDefault="006F5074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6F5074" w:rsidRDefault="006F5074">
            <w:pPr>
              <w:spacing w:after="0"/>
              <w:rPr>
                <w:rFonts w:cs="Times New Roman"/>
              </w:rPr>
            </w:pPr>
          </w:p>
        </w:tc>
      </w:tr>
      <w:tr w:rsidR="006F5074" w:rsidTr="006F5074">
        <w:tc>
          <w:tcPr>
            <w:tcW w:w="9322" w:type="dxa"/>
            <w:gridSpan w:val="3"/>
            <w:tcBorders>
              <w:top w:val="single" w:sz="4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hideMark/>
          </w:tcPr>
          <w:p w:rsidR="006F5074" w:rsidRDefault="006F50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 osnovu prethodne procjene uticaja propisa utvrđeno je da POSTOJI – NE POSTOJI potreba provođenja postupka sveobuhvatne procjene uticaja propisa.</w:t>
            </w:r>
          </w:p>
          <w:p w:rsidR="006F5074" w:rsidRDefault="006F5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Potreba za provođenjem sveobuhvatne procjene uticaja propisa postoji kada je barem na jedno od pitanja iz t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ačke 8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ovog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brasca odgovoreno da može imati vrlo značajan uticaj ili kada je barem na dva pitanja iz t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ačke 8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ovog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brasca odgovoreno da može imati značajan uticaj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.</w:t>
            </w:r>
          </w:p>
        </w:tc>
      </w:tr>
    </w:tbl>
    <w:p w:rsidR="006F5074" w:rsidRDefault="006F5074" w:rsidP="006F5074">
      <w:pPr>
        <w:spacing w:before="360" w:after="12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POTPIS RUKOVODIOCA INSTITUCIJE BiH</w:t>
      </w:r>
    </w:p>
    <w:p w:rsidR="001F398A" w:rsidRDefault="001F398A">
      <w:bookmarkStart w:id="0" w:name="_GoBack"/>
      <w:bookmarkEnd w:id="0"/>
    </w:p>
    <w:sectPr w:rsidR="001F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74"/>
    <w:rsid w:val="001F398A"/>
    <w:rsid w:val="006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Grubešić</dc:creator>
  <cp:lastModifiedBy>Niko Grubešić</cp:lastModifiedBy>
  <cp:revision>1</cp:revision>
  <dcterms:created xsi:type="dcterms:W3CDTF">2018-02-22T15:17:00Z</dcterms:created>
  <dcterms:modified xsi:type="dcterms:W3CDTF">2018-02-22T15:18:00Z</dcterms:modified>
</cp:coreProperties>
</file>