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AB7BF" w14:textId="77777777" w:rsidR="00441974" w:rsidRPr="00C77FF0" w:rsidRDefault="00441974" w:rsidP="00441974">
      <w:pPr>
        <w:spacing w:after="0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bookmarkStart w:id="0" w:name="_GoBack"/>
      <w:bookmarkEnd w:id="0"/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Broj:11-02-5-1358/19</w:t>
      </w:r>
    </w:p>
    <w:p w14:paraId="06815D40" w14:textId="34D102AD" w:rsidR="00441974" w:rsidRPr="00C77FF0" w:rsidRDefault="00E77B92" w:rsidP="00C77FF0">
      <w:pPr>
        <w:spacing w:after="5400" w:line="240" w:lineRule="auto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Sarajevo, 10. </w:t>
      </w:r>
      <w:r w:rsidR="0044197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5.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44197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2019. godine</w:t>
      </w:r>
    </w:p>
    <w:p w14:paraId="588920B5" w14:textId="733DB4F0" w:rsidR="00E034AB" w:rsidRPr="00C77FF0" w:rsidRDefault="00C77FF0" w:rsidP="00C77FF0">
      <w:pPr>
        <w:spacing w:after="0"/>
        <w:jc w:val="center"/>
        <w:rPr>
          <w:rFonts w:ascii="Times New Roman" w:eastAsia="PMingLiU" w:hAnsi="Times New Roman" w:cs="Times New Roman"/>
          <w:b/>
          <w:sz w:val="28"/>
          <w:szCs w:val="28"/>
          <w:lang w:eastAsia="zh-TW" w:bidi="as-IN"/>
        </w:rPr>
      </w:pPr>
      <w:r>
        <w:rPr>
          <w:rFonts w:ascii="Times New Roman" w:eastAsia="PMingLiU" w:hAnsi="Times New Roman" w:cs="Times New Roman"/>
          <w:b/>
          <w:sz w:val="28"/>
          <w:szCs w:val="28"/>
          <w:lang w:eastAsia="zh-TW" w:bidi="as-IN"/>
        </w:rPr>
        <w:t>IZVJEŠTAJ O</w:t>
      </w:r>
      <w:r w:rsidRPr="00C77FF0">
        <w:rPr>
          <w:rFonts w:ascii="Times New Roman" w:eastAsia="PMingLiU" w:hAnsi="Times New Roman" w:cs="Times New Roman"/>
          <w:b/>
          <w:sz w:val="28"/>
          <w:szCs w:val="28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b/>
          <w:sz w:val="28"/>
          <w:szCs w:val="28"/>
          <w:lang w:eastAsia="zh-TW" w:bidi="as-IN"/>
        </w:rPr>
        <w:t>EVALUACIJI</w:t>
      </w:r>
    </w:p>
    <w:p w14:paraId="29EE8A23" w14:textId="5F5F3A60" w:rsidR="00E034AB" w:rsidRPr="00C77FF0" w:rsidRDefault="00C77FF0" w:rsidP="00C77FF0">
      <w:pPr>
        <w:spacing w:after="540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zh-TW" w:bidi="as-IN"/>
        </w:rPr>
      </w:pPr>
      <w:r w:rsidRPr="00C77FF0">
        <w:rPr>
          <w:rFonts w:ascii="Times New Roman" w:eastAsia="PMingLiU" w:hAnsi="Times New Roman" w:cs="Times New Roman"/>
          <w:b/>
          <w:sz w:val="28"/>
          <w:szCs w:val="28"/>
          <w:lang w:eastAsia="zh-TW" w:bidi="as-IN"/>
        </w:rPr>
        <w:t>SREDNJOROČNOG PLANA RADA MINISTARSTVA PRAVDE BOSNE I HERCEGOVINE</w:t>
      </w:r>
      <w:r>
        <w:rPr>
          <w:rFonts w:ascii="Times New Roman" w:eastAsia="PMingLiU" w:hAnsi="Times New Roman" w:cs="Times New Roman"/>
          <w:b/>
          <w:sz w:val="28"/>
          <w:szCs w:val="28"/>
          <w:lang w:eastAsia="zh-TW" w:bidi="as-IN"/>
        </w:rPr>
        <w:t xml:space="preserve"> ZA PERIOD OD 2016. DO</w:t>
      </w:r>
      <w:r w:rsidRPr="00C77FF0">
        <w:rPr>
          <w:rFonts w:ascii="Times New Roman" w:eastAsia="PMingLiU" w:hAnsi="Times New Roman" w:cs="Times New Roman"/>
          <w:b/>
          <w:sz w:val="28"/>
          <w:szCs w:val="28"/>
          <w:lang w:eastAsia="zh-TW" w:bidi="as-IN"/>
        </w:rPr>
        <w:t xml:space="preserve"> 2018. GODINE</w:t>
      </w:r>
    </w:p>
    <w:p w14:paraId="672A6659" w14:textId="77777777" w:rsidR="00074D18" w:rsidRPr="00147C2B" w:rsidRDefault="00074D18">
      <w:pP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147C2B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br w:type="page"/>
      </w:r>
    </w:p>
    <w:p w14:paraId="0A37501D" w14:textId="77777777" w:rsidR="00E034AB" w:rsidRPr="00C77FF0" w:rsidRDefault="00E034AB" w:rsidP="00074D18">
      <w:pPr>
        <w:ind w:firstLine="720"/>
        <w:rPr>
          <w:rFonts w:ascii="Times New Roman" w:eastAsia="PMingLiU" w:hAnsi="Times New Roman" w:cs="Times New Roman"/>
          <w:i/>
          <w:iCs/>
          <w:sz w:val="24"/>
          <w:szCs w:val="24"/>
          <w:lang w:eastAsia="zh-TW" w:bidi="as-IN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bs-Latn-BA"/>
        </w:rPr>
        <w:id w:val="-7907407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3537D4" w14:textId="77777777" w:rsidR="00B36F50" w:rsidRPr="00C77FF0" w:rsidRDefault="00B36F50" w:rsidP="00074D18">
          <w:pPr>
            <w:pStyle w:val="TOCHeading"/>
            <w:spacing w:after="360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  <w:lang w:val="bs-Latn-BA"/>
            </w:rPr>
          </w:pPr>
          <w:r w:rsidRPr="00C77FF0">
            <w:rPr>
              <w:rFonts w:ascii="Times New Roman" w:hAnsi="Times New Roman" w:cs="Times New Roman"/>
              <w:b/>
              <w:color w:val="auto"/>
              <w:sz w:val="24"/>
              <w:szCs w:val="24"/>
              <w:lang w:val="bs-Latn-BA"/>
            </w:rPr>
            <w:t>SADRŽAJ</w:t>
          </w:r>
        </w:p>
        <w:p w14:paraId="3BA25D54" w14:textId="77777777" w:rsidR="00902D39" w:rsidRPr="009F5FE0" w:rsidRDefault="00B36F50" w:rsidP="00486BB0">
          <w:pPr>
            <w:pStyle w:val="TOC1"/>
            <w:tabs>
              <w:tab w:val="left" w:pos="440"/>
              <w:tab w:val="right" w:leader="dot" w:pos="9060"/>
            </w:tabs>
            <w:spacing w:after="240"/>
            <w:rPr>
              <w:rFonts w:ascii="Times New Roman" w:eastAsiaTheme="minorEastAsia" w:hAnsi="Times New Roman" w:cs="Times New Roman"/>
              <w:noProof/>
              <w:lang w:eastAsia="bs-Latn-BA"/>
            </w:rPr>
          </w:pPr>
          <w:r w:rsidRPr="00C77FF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77FF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C77FF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9178802" w:history="1">
            <w:r w:rsidR="00902D39" w:rsidRPr="009F5FE0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1.</w:t>
            </w:r>
            <w:r w:rsidR="00902D39" w:rsidRPr="009F5FE0">
              <w:rPr>
                <w:rFonts w:ascii="Times New Roman" w:eastAsiaTheme="minorEastAsia" w:hAnsi="Times New Roman" w:cs="Times New Roman"/>
                <w:noProof/>
                <w:lang w:eastAsia="bs-Latn-BA"/>
              </w:rPr>
              <w:tab/>
            </w:r>
            <w:r w:rsidR="00902D39" w:rsidRPr="009F5FE0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SAŽETAK</w: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instrText xml:space="preserve"> PAGEREF _Toc9178802 \h </w:instrTex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F5FE0" w:rsidRPr="009F5FE0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E32340" w14:textId="77777777" w:rsidR="00902D39" w:rsidRPr="009F5FE0" w:rsidRDefault="00507C2D" w:rsidP="00486BB0">
          <w:pPr>
            <w:pStyle w:val="TOC1"/>
            <w:tabs>
              <w:tab w:val="left" w:pos="440"/>
              <w:tab w:val="right" w:leader="dot" w:pos="9060"/>
            </w:tabs>
            <w:spacing w:after="240"/>
            <w:rPr>
              <w:rFonts w:ascii="Times New Roman" w:eastAsiaTheme="minorEastAsia" w:hAnsi="Times New Roman" w:cs="Times New Roman"/>
              <w:noProof/>
              <w:lang w:eastAsia="bs-Latn-BA"/>
            </w:rPr>
          </w:pPr>
          <w:hyperlink w:anchor="_Toc9178803" w:history="1">
            <w:r w:rsidR="00902D39" w:rsidRPr="009F5FE0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2.</w:t>
            </w:r>
            <w:r w:rsidR="00902D39" w:rsidRPr="009F5FE0">
              <w:rPr>
                <w:rFonts w:ascii="Times New Roman" w:eastAsiaTheme="minorEastAsia" w:hAnsi="Times New Roman" w:cs="Times New Roman"/>
                <w:noProof/>
                <w:lang w:eastAsia="bs-Latn-BA"/>
              </w:rPr>
              <w:tab/>
            </w:r>
            <w:r w:rsidR="00902D39" w:rsidRPr="009F5FE0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KONTEKST</w: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instrText xml:space="preserve"> PAGEREF _Toc9178803 \h </w:instrTex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F5FE0" w:rsidRPr="009F5FE0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CC2FE2" w14:textId="77777777" w:rsidR="00902D39" w:rsidRPr="009F5FE0" w:rsidRDefault="00507C2D" w:rsidP="00486BB0">
          <w:pPr>
            <w:pStyle w:val="TOC1"/>
            <w:tabs>
              <w:tab w:val="left" w:pos="440"/>
              <w:tab w:val="right" w:leader="dot" w:pos="9060"/>
            </w:tabs>
            <w:spacing w:after="240"/>
            <w:rPr>
              <w:rFonts w:ascii="Times New Roman" w:eastAsiaTheme="minorEastAsia" w:hAnsi="Times New Roman" w:cs="Times New Roman"/>
              <w:noProof/>
              <w:lang w:eastAsia="bs-Latn-BA"/>
            </w:rPr>
          </w:pPr>
          <w:hyperlink w:anchor="_Toc9178804" w:history="1">
            <w:r w:rsidR="00902D39" w:rsidRPr="009F5FE0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3.</w:t>
            </w:r>
            <w:r w:rsidR="00902D39" w:rsidRPr="009F5FE0">
              <w:rPr>
                <w:rFonts w:ascii="Times New Roman" w:eastAsiaTheme="minorEastAsia" w:hAnsi="Times New Roman" w:cs="Times New Roman"/>
                <w:noProof/>
                <w:lang w:eastAsia="bs-Latn-BA"/>
              </w:rPr>
              <w:tab/>
            </w:r>
            <w:r w:rsidR="00902D39" w:rsidRPr="009F5FE0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SREDNJOROČNI PLAN RADA MP BIH ZA PERIOD 2016. – 2018. GODINE</w: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instrText xml:space="preserve"> PAGEREF _Toc9178804 \h </w:instrTex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F5FE0" w:rsidRPr="009F5FE0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655BE95" w14:textId="77777777" w:rsidR="00902D39" w:rsidRPr="009F5FE0" w:rsidRDefault="00507C2D" w:rsidP="00486BB0">
          <w:pPr>
            <w:pStyle w:val="TOC1"/>
            <w:tabs>
              <w:tab w:val="left" w:pos="440"/>
              <w:tab w:val="right" w:leader="dot" w:pos="9060"/>
            </w:tabs>
            <w:spacing w:after="240"/>
            <w:rPr>
              <w:rFonts w:ascii="Times New Roman" w:eastAsiaTheme="minorEastAsia" w:hAnsi="Times New Roman" w:cs="Times New Roman"/>
              <w:noProof/>
              <w:lang w:eastAsia="bs-Latn-BA"/>
            </w:rPr>
          </w:pPr>
          <w:hyperlink w:anchor="_Toc9178805" w:history="1">
            <w:r w:rsidR="00902D39" w:rsidRPr="009F5FE0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4.</w:t>
            </w:r>
            <w:r w:rsidR="00902D39" w:rsidRPr="009F5FE0">
              <w:rPr>
                <w:rFonts w:ascii="Times New Roman" w:eastAsiaTheme="minorEastAsia" w:hAnsi="Times New Roman" w:cs="Times New Roman"/>
                <w:noProof/>
                <w:lang w:eastAsia="bs-Latn-BA"/>
              </w:rPr>
              <w:tab/>
            </w:r>
            <w:r w:rsidR="00902D39" w:rsidRPr="009F5FE0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POSTIGNUTI REZULTATI I DIJAGRAM LOGIČKE MAPE SPR MP BiH</w: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instrText xml:space="preserve"> PAGEREF _Toc9178805 \h </w:instrTex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F5FE0" w:rsidRPr="009F5FE0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27D068F" w14:textId="77777777" w:rsidR="00902D39" w:rsidRPr="009F5FE0" w:rsidRDefault="00507C2D" w:rsidP="00486BB0">
          <w:pPr>
            <w:pStyle w:val="TOC1"/>
            <w:tabs>
              <w:tab w:val="left" w:pos="440"/>
              <w:tab w:val="right" w:leader="dot" w:pos="9060"/>
            </w:tabs>
            <w:spacing w:after="240"/>
            <w:rPr>
              <w:rFonts w:ascii="Times New Roman" w:eastAsiaTheme="minorEastAsia" w:hAnsi="Times New Roman" w:cs="Times New Roman"/>
              <w:noProof/>
              <w:lang w:eastAsia="bs-Latn-BA"/>
            </w:rPr>
          </w:pPr>
          <w:hyperlink w:anchor="_Toc9178806" w:history="1">
            <w:r w:rsidR="00902D39" w:rsidRPr="009F5FE0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5.</w:t>
            </w:r>
            <w:r w:rsidR="00902D39" w:rsidRPr="009F5FE0">
              <w:rPr>
                <w:rFonts w:ascii="Times New Roman" w:eastAsiaTheme="minorEastAsia" w:hAnsi="Times New Roman" w:cs="Times New Roman"/>
                <w:noProof/>
                <w:lang w:eastAsia="bs-Latn-BA"/>
              </w:rPr>
              <w:tab/>
            </w:r>
            <w:r w:rsidR="00902D39" w:rsidRPr="009F5FE0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eastAsia="zh-TW" w:bidi="as-IN"/>
              </w:rPr>
              <w:t>ZAKLJUČCI I PREPORUKE</w: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instrText xml:space="preserve"> PAGEREF _Toc9178806 \h </w:instrTex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F5FE0" w:rsidRPr="009F5FE0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719123" w14:textId="2B05336E" w:rsidR="00902D39" w:rsidRPr="009F5FE0" w:rsidRDefault="00507C2D" w:rsidP="00486BB0">
          <w:pPr>
            <w:pStyle w:val="TOC1"/>
            <w:tabs>
              <w:tab w:val="right" w:leader="dot" w:pos="9060"/>
            </w:tabs>
            <w:spacing w:after="240"/>
            <w:rPr>
              <w:rFonts w:ascii="Times New Roman" w:eastAsiaTheme="minorEastAsia" w:hAnsi="Times New Roman" w:cs="Times New Roman"/>
              <w:noProof/>
              <w:lang w:eastAsia="bs-Latn-BA"/>
            </w:rPr>
          </w:pPr>
          <w:hyperlink w:anchor="_Toc9178807" w:history="1">
            <w:r w:rsidR="00902D39" w:rsidRPr="009F5FE0">
              <w:rPr>
                <w:rStyle w:val="Hyperlink"/>
                <w:rFonts w:ascii="Times New Roman" w:eastAsia="PMingLiU" w:hAnsi="Times New Roman" w:cs="Times New Roman"/>
                <w:b/>
                <w:noProof/>
                <w:lang w:eastAsia="zh-TW" w:bidi="as-IN"/>
              </w:rPr>
              <w:t xml:space="preserve">PRILOG 1: SPISAK </w:t>
            </w:r>
            <w:r w:rsidR="00E61F41">
              <w:rPr>
                <w:rStyle w:val="Hyperlink"/>
                <w:rFonts w:ascii="Times New Roman" w:eastAsia="PMingLiU" w:hAnsi="Times New Roman" w:cs="Times New Roman"/>
                <w:b/>
                <w:noProof/>
                <w:lang w:eastAsia="zh-TW" w:bidi="as-IN"/>
              </w:rPr>
              <w:t>LICA</w:t>
            </w:r>
            <w:r w:rsidR="00604F8F">
              <w:rPr>
                <w:rStyle w:val="Hyperlink"/>
                <w:rFonts w:ascii="Times New Roman" w:eastAsia="PMingLiU" w:hAnsi="Times New Roman" w:cs="Times New Roman"/>
                <w:b/>
                <w:noProof/>
                <w:lang w:eastAsia="zh-TW" w:bidi="as-IN"/>
              </w:rPr>
              <w:t xml:space="preserve"> SA</w:t>
            </w:r>
            <w:r w:rsidR="00902D39" w:rsidRPr="009F5FE0">
              <w:rPr>
                <w:rStyle w:val="Hyperlink"/>
                <w:rFonts w:ascii="Times New Roman" w:eastAsia="PMingLiU" w:hAnsi="Times New Roman" w:cs="Times New Roman"/>
                <w:b/>
                <w:noProof/>
                <w:lang w:eastAsia="zh-TW" w:bidi="as-IN"/>
              </w:rPr>
              <w:t xml:space="preserve"> KOJIM</w:t>
            </w:r>
            <w:r w:rsidR="00604F8F">
              <w:rPr>
                <w:rStyle w:val="Hyperlink"/>
                <w:rFonts w:ascii="Times New Roman" w:eastAsia="PMingLiU" w:hAnsi="Times New Roman" w:cs="Times New Roman"/>
                <w:b/>
                <w:noProof/>
                <w:lang w:eastAsia="zh-TW" w:bidi="as-IN"/>
              </w:rPr>
              <w:t>A</w:t>
            </w:r>
            <w:r w:rsidR="00902D39" w:rsidRPr="009F5FE0">
              <w:rPr>
                <w:rStyle w:val="Hyperlink"/>
                <w:rFonts w:ascii="Times New Roman" w:eastAsia="PMingLiU" w:hAnsi="Times New Roman" w:cs="Times New Roman"/>
                <w:b/>
                <w:noProof/>
                <w:lang w:eastAsia="zh-TW" w:bidi="as-IN"/>
              </w:rPr>
              <w:t xml:space="preserve"> JE OBAVLJEN INTERVJU</w: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instrText xml:space="preserve"> PAGEREF _Toc9178807 \h </w:instrTex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F5FE0" w:rsidRPr="009F5FE0">
              <w:rPr>
                <w:rFonts w:ascii="Times New Roman" w:hAnsi="Times New Roman" w:cs="Times New Roman"/>
                <w:noProof/>
                <w:webHidden/>
              </w:rPr>
              <w:t>39</w: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D9C8DA" w14:textId="77777777" w:rsidR="00902D39" w:rsidRPr="009F5FE0" w:rsidRDefault="00507C2D" w:rsidP="00486BB0">
          <w:pPr>
            <w:pStyle w:val="TOC1"/>
            <w:tabs>
              <w:tab w:val="right" w:leader="dot" w:pos="9060"/>
            </w:tabs>
            <w:spacing w:after="240"/>
            <w:rPr>
              <w:rFonts w:ascii="Times New Roman" w:eastAsiaTheme="minorEastAsia" w:hAnsi="Times New Roman" w:cs="Times New Roman"/>
              <w:noProof/>
              <w:lang w:eastAsia="bs-Latn-BA"/>
            </w:rPr>
          </w:pPr>
          <w:hyperlink w:anchor="_Toc9178808" w:history="1">
            <w:r w:rsidR="00902D39" w:rsidRPr="009F5FE0">
              <w:rPr>
                <w:rStyle w:val="Hyperlink"/>
                <w:rFonts w:ascii="Times New Roman" w:eastAsia="PMingLiU" w:hAnsi="Times New Roman" w:cs="Times New Roman"/>
                <w:b/>
                <w:noProof/>
                <w:lang w:eastAsia="zh-TW" w:bidi="as-IN"/>
              </w:rPr>
              <w:t>PRILOG 2: BIBLIOGRAFIJA</w: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instrText xml:space="preserve"> PAGEREF _Toc9178808 \h </w:instrTex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F5FE0" w:rsidRPr="009F5FE0">
              <w:rPr>
                <w:rFonts w:ascii="Times New Roman" w:hAnsi="Times New Roman" w:cs="Times New Roman"/>
                <w:noProof/>
                <w:webHidden/>
              </w:rPr>
              <w:t>40</w:t>
            </w:r>
            <w:r w:rsidR="00902D39" w:rsidRPr="009F5F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AB6C7B" w14:textId="77777777" w:rsidR="00B36F50" w:rsidRPr="00C77FF0" w:rsidRDefault="00B36F50" w:rsidP="00441974">
          <w:pPr>
            <w:pStyle w:val="TOC3"/>
            <w:tabs>
              <w:tab w:val="right" w:leader="dot" w:pos="9060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C77FF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2EB378F" w14:textId="77777777" w:rsidR="00E034AB" w:rsidRPr="00C77FF0" w:rsidRDefault="00E034AB" w:rsidP="00E034AB">
      <w:pPr>
        <w:pBdr>
          <w:bottom w:val="single" w:sz="12" w:space="1" w:color="auto"/>
        </w:pBdr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</w:p>
    <w:p w14:paraId="6A05A809" w14:textId="77777777" w:rsidR="00004C6D" w:rsidRPr="00C77FF0" w:rsidRDefault="00004C6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TW" w:bidi="as-IN"/>
        </w:rPr>
      </w:pPr>
      <w:r w:rsidRPr="00C77FF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TW" w:bidi="as-IN"/>
        </w:rPr>
        <w:br w:type="page"/>
      </w:r>
    </w:p>
    <w:p w14:paraId="63A86C08" w14:textId="4CBA70FB" w:rsidR="00E034AB" w:rsidRPr="00B46F11" w:rsidRDefault="00C77FF0" w:rsidP="0052587F">
      <w:pPr>
        <w:pStyle w:val="Heading1"/>
        <w:numPr>
          <w:ilvl w:val="0"/>
          <w:numId w:val="22"/>
        </w:numPr>
        <w:spacing w:before="0" w:after="120" w:line="240" w:lineRule="auto"/>
        <w:ind w:left="714" w:hanging="357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</w:pPr>
      <w:bookmarkStart w:id="1" w:name="_Toc9178802"/>
      <w:r w:rsidRPr="00B46F1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lastRenderedPageBreak/>
        <w:t>SAŽETAK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F13AD" w:rsidRPr="00C77FF0" w14:paraId="78250A16" w14:textId="77777777" w:rsidTr="009F13AD">
        <w:tc>
          <w:tcPr>
            <w:tcW w:w="9060" w:type="dxa"/>
          </w:tcPr>
          <w:p w14:paraId="42052BFC" w14:textId="19BDDA2C" w:rsidR="009B7279" w:rsidRDefault="009B7279" w:rsidP="005E19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Ministarstvo pravde Bosne i Hercegovine (MP BiH) </w:t>
            </w:r>
            <w:r w:rsidRPr="009B7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 osnovano 2003. godine Zakonom o ministarstvima i drugim organima uprave Bosne i Hercegovine („Službeni glasnik BiH“, broj 5/03, 42/03, 26/04, 42/04, 45/06, 88/07, 35/09, 103/09, 87/12, 6/13 i 19/16).</w:t>
            </w:r>
          </w:p>
          <w:p w14:paraId="3A05708D" w14:textId="66CFD73F" w:rsidR="00F76EAC" w:rsidRPr="00F76EAC" w:rsidRDefault="00F76EAC" w:rsidP="005E192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FF0">
              <w:rPr>
                <w:rFonts w:ascii="Times New Roman" w:hAnsi="Times New Roman" w:cs="Times New Roman"/>
                <w:sz w:val="24"/>
                <w:szCs w:val="24"/>
              </w:rPr>
              <w:t xml:space="preserve">U MP BiH je </w:t>
            </w:r>
            <w:r w:rsidR="00927840">
              <w:rPr>
                <w:rFonts w:ascii="Times New Roman" w:hAnsi="Times New Roman" w:cs="Times New Roman"/>
                <w:sz w:val="24"/>
                <w:szCs w:val="24"/>
              </w:rPr>
              <w:t>zaposleno</w:t>
            </w:r>
            <w:r w:rsidRPr="00C77FF0">
              <w:rPr>
                <w:rFonts w:ascii="Times New Roman" w:hAnsi="Times New Roman" w:cs="Times New Roman"/>
                <w:sz w:val="24"/>
                <w:szCs w:val="24"/>
              </w:rPr>
              <w:t xml:space="preserve"> ukupno 231 </w:t>
            </w:r>
            <w:r w:rsidR="00927840">
              <w:rPr>
                <w:rFonts w:ascii="Times New Roman" w:hAnsi="Times New Roman" w:cs="Times New Roman"/>
                <w:sz w:val="24"/>
                <w:szCs w:val="24"/>
              </w:rPr>
              <w:t>lice</w:t>
            </w:r>
            <w:r w:rsidRPr="00C77FF0">
              <w:rPr>
                <w:rFonts w:ascii="Times New Roman" w:hAnsi="Times New Roman" w:cs="Times New Roman"/>
                <w:sz w:val="24"/>
                <w:szCs w:val="24"/>
              </w:rPr>
              <w:t xml:space="preserve">, od čega je 11 rukovodećih državnih službenika, šest šefova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unutrašnjih organizacionih jedinica </w:t>
            </w:r>
            <w:r w:rsidRPr="00C77FF0">
              <w:rPr>
                <w:rFonts w:ascii="Times New Roman" w:hAnsi="Times New Roman" w:cs="Times New Roman"/>
                <w:sz w:val="24"/>
                <w:szCs w:val="24"/>
              </w:rPr>
              <w:t xml:space="preserve">i savjetnika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ministra i zamjenika ministra</w:t>
            </w:r>
            <w:r w:rsidRPr="00C77F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 xml:space="preserve">69 državnih službenika, 58 </w:t>
            </w:r>
            <w:r w:rsidRPr="00C77FF0">
              <w:rPr>
                <w:rFonts w:ascii="Times New Roman" w:hAnsi="Times New Roman" w:cs="Times New Roman"/>
                <w:sz w:val="24"/>
                <w:szCs w:val="24"/>
              </w:rPr>
              <w:t xml:space="preserve">sudskih policajaca, 32 ovlaštena zavodska službenika i 55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zaposlenika</w:t>
            </w:r>
            <w:r w:rsidRPr="00C77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FF0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osnovu</w:t>
            </w:r>
            <w:r w:rsidRPr="00C77FF0">
              <w:rPr>
                <w:rFonts w:ascii="Times New Roman" w:hAnsi="Times New Roman" w:cs="Times New Roman"/>
                <w:sz w:val="24"/>
                <w:szCs w:val="24"/>
              </w:rPr>
              <w:t xml:space="preserve"> pregleda spolne strukture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vidljivo je da je </w:t>
            </w:r>
            <w:r w:rsidRPr="00C77FF0">
              <w:rPr>
                <w:rFonts w:ascii="Times New Roman" w:hAnsi="Times New Roman" w:cs="Times New Roman"/>
                <w:sz w:val="24"/>
                <w:szCs w:val="24"/>
              </w:rPr>
              <w:t>u MP BiH zaposleno 58% muškaraca i 42% žena.</w:t>
            </w:r>
          </w:p>
          <w:p w14:paraId="26EF1686" w14:textId="236792BE" w:rsidR="009B7279" w:rsidRDefault="009B7279" w:rsidP="005E19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MP BiH </w:t>
            </w:r>
            <w:r w:rsidR="00C77FF0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je </w:t>
            </w:r>
            <w:r w:rsidR="00441974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2006. godine </w:t>
            </w:r>
            <w:r w:rsidR="00F94C23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započelo sa strateškim planiranjem</w:t>
            </w:r>
            <w:r w:rsidR="00441974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4C23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nakon osnivanja</w:t>
            </w:r>
            <w:r w:rsidR="00C77FF0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Sektora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za strateška planiranja, koordinaciju pomoći i e</w:t>
            </w:r>
            <w:r w:rsidR="00DF73F1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ropske integracije</w:t>
            </w:r>
            <w:r w:rsidR="00C77FF0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(SSPKPEI)</w:t>
            </w:r>
            <w:r w:rsidR="00441974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77FF0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koji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je </w:t>
            </w:r>
            <w:r w:rsidR="00C77FF0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izradio</w:t>
            </w:r>
            <w:r w:rsidR="00441974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prvi srednjoročni strateški plan </w:t>
            </w:r>
            <w:r w:rsidR="00C77FF0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 BiH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za period </w:t>
            </w:r>
            <w:r w:rsidR="00C77FF0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 2006. do </w:t>
            </w:r>
            <w:r w:rsidR="00F94C23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2008. godine.</w:t>
            </w:r>
          </w:p>
          <w:p w14:paraId="3A484751" w14:textId="77777777" w:rsidR="009B7279" w:rsidRDefault="00D90A37" w:rsidP="005E19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Srednjoročni plan rada (SPR) MP BiH za period </w:t>
            </w:r>
            <w:r w:rsidR="00C77FF0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 2016. do 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2018. godine metodološki </w:t>
            </w:r>
            <w:r w:rsidR="00C77FF0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 izrađen u skladu s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Odlukom o postupku srednjoročnog planiranja, praćenja i izvještavanja u inst</w:t>
            </w:r>
            <w:r w:rsidR="00F94C23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itucijama Bosne i Hercegovine („Službeni glasnik BiH“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broj 62/14) i Uputstvom o metodologiji u postupku planiranja, praćenja i izvještavanja u institucijama Bosne i Hercegovine (</w:t>
            </w:r>
            <w:r w:rsidR="00F94C23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Službeni glasnik</w:t>
            </w:r>
            <w:r w:rsidR="00F94C23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BiH“, broj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44/15).</w:t>
            </w:r>
          </w:p>
          <w:p w14:paraId="1ACA888D" w14:textId="77777777" w:rsidR="009B7279" w:rsidRDefault="00441974" w:rsidP="005E19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SPR MP BiH daje </w:t>
            </w:r>
            <w:r w:rsidR="00F94C23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4C23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doprinos za izradu s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trateškog okvir</w:t>
            </w:r>
            <w:r w:rsidR="00210CE4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4C23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institucija Bosne i Hercegovine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4C23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BiH</w:t>
            </w:r>
            <w:r w:rsidR="00F94C23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4C23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 period od 2016. do 2018. godine.</w:t>
            </w:r>
          </w:p>
          <w:p w14:paraId="04F9CA06" w14:textId="77777777" w:rsidR="009B7279" w:rsidRPr="007C2670" w:rsidRDefault="00F94C23" w:rsidP="005E19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441974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okument strateškog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okvir</w:t>
            </w:r>
            <w:r w:rsidR="00441974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BiH sadrži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strateških ciljeva, </w:t>
            </w:r>
            <w:r w:rsidR="00441974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7BD3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4C6D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BiH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1974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doprinosi provođenju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jednog strateškog cilja</w:t>
            </w:r>
            <w:r w:rsidR="00D90A37" w:rsidRPr="009B7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="00D90A37" w:rsidRPr="007C26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„</w:t>
            </w:r>
            <w:r w:rsidRPr="007C26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14. </w:t>
            </w:r>
            <w:r w:rsidR="00D90A37" w:rsidRPr="007C26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Ubrzati proces tranzicije i izgradnje kapaci</w:t>
            </w:r>
            <w:r w:rsidR="00441974" w:rsidRPr="007C26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teta“ </w:t>
            </w:r>
            <w:r w:rsidRPr="007C2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okviru</w:t>
            </w:r>
            <w:r w:rsidR="00441974" w:rsidRPr="007C2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princip</w:t>
            </w:r>
            <w:r w:rsidRPr="007C2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441974" w:rsidRPr="007C2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r w:rsidR="00D90A37" w:rsidRPr="007C26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Upravljanje u funkciji rasta“</w:t>
            </w:r>
            <w:r w:rsidR="00441974" w:rsidRPr="007C2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9B39031" w14:textId="77777777" w:rsidR="009B7279" w:rsidRPr="007C2670" w:rsidRDefault="00D90A37" w:rsidP="005E19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okviru </w:t>
            </w:r>
            <w:r w:rsidR="00F94C23" w:rsidRPr="007C2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navedenog </w:t>
            </w:r>
            <w:r w:rsidRPr="007C2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strateškog cilja </w:t>
            </w:r>
            <w:r w:rsidR="00907BD3" w:rsidRPr="007C2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MP</w:t>
            </w:r>
            <w:r w:rsidRPr="007C2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BiH </w:t>
            </w:r>
            <w:r w:rsidR="00A53806" w:rsidRPr="007C2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doprinosi </w:t>
            </w:r>
            <w:r w:rsidR="00F94C23" w:rsidRPr="007C2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ostvarivanju</w:t>
            </w:r>
            <w:r w:rsidR="00A53806" w:rsidRPr="007C2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2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dva srednjoročn</w:t>
            </w:r>
            <w:r w:rsidR="00F94C23" w:rsidRPr="007C2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cilja</w:t>
            </w:r>
            <w:r w:rsidRPr="007C2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E4740C6" w14:textId="77777777" w:rsidR="009B7279" w:rsidRPr="007C2670" w:rsidRDefault="00D90A37" w:rsidP="005E19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6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Srednjoročni cilj 1: </w:t>
            </w:r>
            <w:r w:rsidR="003E0E4A" w:rsidRPr="007C26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Unapređenje</w:t>
            </w:r>
            <w:r w:rsidRPr="007C26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efikasnosti, odgovornosti, kvalitete i nezavisnosti sektora pravde u BiH</w:t>
            </w:r>
            <w:r w:rsidR="00F94C23" w:rsidRPr="007C26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3DE006A7" w14:textId="77777777" w:rsidR="009B7279" w:rsidRPr="007C2670" w:rsidRDefault="00F94C23" w:rsidP="005E19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6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Srednjoročni cilj 2: </w:t>
            </w:r>
            <w:r w:rsidR="003E0E4A" w:rsidRPr="007C26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Unapređenje</w:t>
            </w:r>
            <w:r w:rsidR="00D90A37" w:rsidRPr="007C26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izrade politika, procesa integraci</w:t>
            </w:r>
            <w:r w:rsidRPr="007C26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je u EU i reforme javne uprave.</w:t>
            </w:r>
          </w:p>
          <w:p w14:paraId="147B5D88" w14:textId="77777777" w:rsidR="009B7279" w:rsidRDefault="001454B7" w:rsidP="005E192D">
            <w:pPr>
              <w:tabs>
                <w:tab w:val="left" w:pos="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 pripremi evaluacije izrađen je</w:t>
            </w:r>
            <w:r w:rsidR="00A53806" w:rsidRPr="009B7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</w:t>
            </w:r>
            <w:r w:rsidR="00D90A37" w:rsidRPr="009B7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lan </w:t>
            </w:r>
            <w:r w:rsidRPr="009B7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evaluacije </w:t>
            </w:r>
            <w:r w:rsidR="00D90A37" w:rsidRPr="009B7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i </w:t>
            </w:r>
            <w:r w:rsidRPr="009B7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ovaj </w:t>
            </w:r>
            <w:r w:rsidR="00D90A37" w:rsidRPr="009B7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izvještaj</w:t>
            </w:r>
            <w:r w:rsidRPr="009B7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90A37" w:rsidRPr="009B7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B7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 skladu s</w:t>
            </w:r>
            <w:r w:rsidR="00D90A37" w:rsidRPr="009B7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53806" w:rsidRPr="009B7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okvirnom </w:t>
            </w:r>
            <w:r w:rsidRPr="009B7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</w:t>
            </w:r>
            <w:r w:rsidR="00D90A37" w:rsidRPr="009B7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etodologijom </w:t>
            </w:r>
            <w:r w:rsidR="00907BD3" w:rsidRPr="009B7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Direkcije za ekonomsko planiranje (DEP)</w:t>
            </w:r>
            <w:r w:rsidR="00D90A37" w:rsidRPr="009B72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Evaluacija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SPR MP BiH </w:t>
            </w:r>
            <w:r w:rsidR="00A53806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 izvršen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A53806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tri faze. Prva faza se odnosi</w:t>
            </w:r>
            <w:r w:rsidR="00210CE4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prikupljanje i obradu podataka, druga faza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odnosila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provođenje polu</w:t>
            </w:r>
            <w:r w:rsidR="00A53806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strukturiranog 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intervjua i </w:t>
            </w:r>
            <w:r w:rsidR="00A53806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pojedinačnih 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sastanaka, </w:t>
            </w:r>
            <w:r w:rsidR="00210CE4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treća faza</w:t>
            </w:r>
            <w:r w:rsidR="00210CE4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3806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je bila usmjerena </w:t>
            </w:r>
            <w:r w:rsidR="00210CE4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3806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analitički rad i 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sastavljan</w:t>
            </w:r>
            <w:r w:rsidR="00A53806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="00210CE4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izvještaja o evaluaciji prema </w:t>
            </w:r>
            <w:r w:rsidR="00A53806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ranije 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definis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anim kriterijima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</w:t>
            </w:r>
            <w:r w:rsidR="00A53806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 u metodologiji izrade evaluacije</w:t>
            </w:r>
            <w:r w:rsidR="00D90A3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3725342" w14:textId="4E816906" w:rsidR="009F13AD" w:rsidRPr="009B7279" w:rsidRDefault="00D90A37" w:rsidP="009B7279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 osnovu navedenog, </w:t>
            </w:r>
            <w:r w:rsidR="001454B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konstatuje</w:t>
            </w:r>
            <w:r w:rsidR="00A53806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 </w:t>
            </w:r>
            <w:r w:rsidR="00A53806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je 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SPR MP BiH </w:t>
            </w:r>
            <w:r w:rsidR="00A53806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 period </w:t>
            </w:r>
            <w:r w:rsidR="001454B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 2016. do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2018. godine bio izuzetno obiman i detaljan dokument</w:t>
            </w:r>
            <w:r w:rsidR="001454B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što je suprotno </w:t>
            </w:r>
            <w:r w:rsidR="00A53806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 dobre prakse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pripreme strateških dokumenata. Uzimajući u obzir </w:t>
            </w:r>
            <w:r w:rsidR="00A53806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činjenicu 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 </w:t>
            </w:r>
            <w:r w:rsidR="001454B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 u dat</w:t>
            </w:r>
            <w:r w:rsidR="00A53806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 trenutku započeo postupak planiranja po novoj metodologiji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53806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3806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sposobnosti i resursa MP BiH</w:t>
            </w:r>
            <w:r w:rsidR="001454B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3806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može se ocijeniti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3806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opravdanim postupkom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1454B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A53806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promatranom periodu 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primjetan je trend razvoja kulture planiranja i unapređ</w:t>
            </w:r>
            <w:r w:rsidR="000A49E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 u pogledu metodološke preciznosti, konciznosti dokumenta, kao i otklanjanje uočenih nedostataka</w:t>
            </w:r>
            <w:r w:rsidR="000A49E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54B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0A49E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avedeno unapređenje se 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odnosilo na smanjivanje velikog broja aktivnosti </w:t>
            </w:r>
            <w:r w:rsidR="000A49E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početnom dokumentu na manji broj</w:t>
            </w:r>
            <w:r w:rsidR="001454B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A49E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54B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koje su pridruživane</w:t>
            </w:r>
            <w:r w:rsidR="000A49E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većim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49E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cjelinama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te u </w:t>
            </w:r>
            <w:r w:rsidR="004C610F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stalnom preispitivanju pokazatelja</w:t>
            </w:r>
            <w:r w:rsidR="000A49E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uspjeha i rezultata 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odnosu na postavljene ciljeve i projekte.</w:t>
            </w:r>
            <w:r w:rsidR="00E7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49E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azrijevanje procesa planiranja </w:t>
            </w:r>
            <w:r w:rsidR="000A49E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opaža </w:t>
            </w:r>
            <w:r w:rsidR="004C610F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="000A49E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konciznijim, preciznijim </w:t>
            </w:r>
            <w:r w:rsidR="004C610F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sveobuhvatnijim i</w:t>
            </w:r>
            <w:r w:rsidR="000A49E7"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zvještajima</w:t>
            </w:r>
            <w:r w:rsidRPr="009B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provođenju SPR MP BiH.</w:t>
            </w:r>
          </w:p>
        </w:tc>
      </w:tr>
    </w:tbl>
    <w:p w14:paraId="780653C4" w14:textId="5B63439C" w:rsidR="005E192D" w:rsidRPr="005E192D" w:rsidRDefault="005E192D" w:rsidP="005E192D">
      <w:pPr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hr-BA"/>
        </w:rPr>
      </w:pPr>
      <w:r w:rsidRPr="005E192D">
        <w:rPr>
          <w:rFonts w:ascii="Times New Roman" w:hAnsi="Times New Roman" w:cs="Times New Roman"/>
          <w:b/>
          <w:iCs/>
          <w:sz w:val="24"/>
          <w:szCs w:val="24"/>
          <w:lang w:val="hr-BA"/>
        </w:rPr>
        <w:t>Izrazi koji su radi preglednosti dati u jednom gramatičkom rodu u ovom izvještaju, bez diskriminacije se odnose i na muškarce i na žene.</w:t>
      </w:r>
    </w:p>
    <w:p w14:paraId="5A39BBE3" w14:textId="77777777" w:rsidR="00C8203A" w:rsidRPr="00C77FF0" w:rsidRDefault="00C8203A" w:rsidP="00C77FF0">
      <w:pPr>
        <w:rPr>
          <w:sz w:val="24"/>
          <w:szCs w:val="24"/>
          <w:lang w:eastAsia="zh-TW" w:bidi="as-IN"/>
        </w:rPr>
      </w:pPr>
      <w:r w:rsidRPr="00C77FF0">
        <w:rPr>
          <w:sz w:val="24"/>
          <w:szCs w:val="24"/>
          <w:lang w:eastAsia="zh-TW" w:bidi="as-IN"/>
        </w:rPr>
        <w:br w:type="page"/>
      </w:r>
    </w:p>
    <w:p w14:paraId="6FA21032" w14:textId="0B952AAC" w:rsidR="00E034AB" w:rsidRPr="00C77FF0" w:rsidRDefault="004C610F" w:rsidP="00473F89">
      <w:pPr>
        <w:pStyle w:val="Heading1"/>
        <w:numPr>
          <w:ilvl w:val="0"/>
          <w:numId w:val="22"/>
        </w:numPr>
        <w:spacing w:before="0" w:after="120" w:line="240" w:lineRule="auto"/>
        <w:ind w:left="714" w:hanging="357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</w:pPr>
      <w:bookmarkStart w:id="2" w:name="_Toc9178803"/>
      <w:r w:rsidRPr="00C77FF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lastRenderedPageBreak/>
        <w:t>KONTEKST</w:t>
      </w:r>
      <w:bookmarkEnd w:id="2"/>
    </w:p>
    <w:p w14:paraId="2F751E28" w14:textId="77777777" w:rsidR="004C610F" w:rsidRDefault="7C1D1F8F" w:rsidP="00473F89">
      <w:pPr>
        <w:tabs>
          <w:tab w:val="left" w:pos="284"/>
        </w:tabs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Jedan 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 ključnih ciljeva Strategije za reformu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javne uprave u BiH </w:t>
      </w:r>
      <w:r w:rsidR="004C610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(SRJU) 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jačanje kapaciteta za strateško planiranje i razvoj politika </w:t>
      </w:r>
      <w:r w:rsidR="004C610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 svim upravnim nivoima u BiH.</w:t>
      </w:r>
    </w:p>
    <w:p w14:paraId="3F6746C3" w14:textId="2D6DCD02" w:rsidR="00E034AB" w:rsidRPr="00C77FF0" w:rsidRDefault="004C610F" w:rsidP="00473F89">
      <w:pPr>
        <w:tabs>
          <w:tab w:val="left" w:pos="284"/>
        </w:tabs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2015. godine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 institucijama BiH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 započeo proces srednjoročnog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planiranja, praćenja i izvještavanja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 nakon usvajanja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Odluke o postupku srednjoročnoga planiranja, praćenja i izvještavanja u institucijama BiH i Uputstva o metodologiji u postupku srednjoročnoga planiranja, praćenja i izvještavanja u in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stitucijama Bosne i Hercegovine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od strane Vijeća ministara (VM) BiH.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Navedenim propisima propisana je obaveza institucija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BiH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da,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nakon tri godine provođenja srednjoročnog plana rada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provedu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postupak </w:t>
      </w:r>
      <w:r w:rsidR="00B46F1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interne ili eksterne 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evaluacije.</w:t>
      </w:r>
    </w:p>
    <w:p w14:paraId="52350AAE" w14:textId="04B767B3" w:rsidR="00E034AB" w:rsidRPr="00C77FF0" w:rsidRDefault="00D46E37" w:rsidP="00473F89">
      <w:pPr>
        <w:tabs>
          <w:tab w:val="left" w:pos="284"/>
        </w:tabs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Postupak </w:t>
      </w:r>
      <w:r w:rsidR="00BB5ED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evaluacije </w:t>
      </w:r>
      <w:r w:rsidR="00B46F1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SPR MP BiH </w:t>
      </w:r>
      <w:r w:rsidR="00BB5ED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je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vršen interno, a </w:t>
      </w:r>
      <w:r w:rsidR="00473F8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evaluaciju</w:t>
      </w:r>
      <w:r w:rsidR="00B46F1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je </w:t>
      </w:r>
      <w:r w:rsidR="00473F8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proveo</w:t>
      </w:r>
      <w:r w:rsidR="00BB5ED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B46F1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SSPKPEI</w:t>
      </w:r>
      <w:r w:rsidR="002E3EF5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12C214DF" w14:textId="77777777" w:rsidR="00F554DB" w:rsidRDefault="00F554DB">
      <w:pPr>
        <w:rPr>
          <w:rFonts w:ascii="Times New Roman" w:eastAsia="Times New Roman" w:hAnsi="Times New Roman" w:cs="Times New Roman"/>
          <w:b/>
          <w:sz w:val="24"/>
          <w:szCs w:val="24"/>
          <w:lang w:eastAsia="zh-TW" w:bidi="as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TW" w:bidi="as-IN"/>
        </w:rPr>
        <w:br w:type="page"/>
      </w:r>
    </w:p>
    <w:p w14:paraId="6B11599C" w14:textId="76FDA779" w:rsidR="00E034AB" w:rsidRPr="00B46F11" w:rsidRDefault="00B46F11" w:rsidP="005F0103">
      <w:pPr>
        <w:pStyle w:val="Heading1"/>
        <w:numPr>
          <w:ilvl w:val="0"/>
          <w:numId w:val="22"/>
        </w:numPr>
        <w:spacing w:before="0" w:after="120" w:line="240" w:lineRule="auto"/>
        <w:ind w:left="714" w:hanging="357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</w:pPr>
      <w:bookmarkStart w:id="3" w:name="_Toc9178804"/>
      <w:r w:rsidRPr="00C77FF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lastRenderedPageBreak/>
        <w:t xml:space="preserve">SREDNJOROČNI PLAN RADA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>MP</w:t>
      </w:r>
      <w:r w:rsidRPr="00C77FF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 xml:space="preserve"> B</w:t>
      </w:r>
      <w:r w:rsidR="002A5A8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>i</w:t>
      </w:r>
      <w:r w:rsidRPr="00C77FF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 xml:space="preserve">H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 xml:space="preserve">ZA PERIOD </w:t>
      </w:r>
      <w:r w:rsidRPr="00C77FF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>2016. – 2018. GODINE</w:t>
      </w:r>
      <w:bookmarkEnd w:id="3"/>
    </w:p>
    <w:p w14:paraId="0222F29E" w14:textId="7D67F119" w:rsidR="0052587F" w:rsidRDefault="0052587F" w:rsidP="00473F89">
      <w:pPr>
        <w:spacing w:after="120" w:line="240" w:lineRule="auto"/>
        <w:ind w:left="-5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Uvidom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u </w:t>
      </w:r>
      <w:r w:rsidR="008D5A9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 MP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BiH za period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od 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2016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do 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2018.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</w:t>
      </w:r>
      <w:r w:rsidR="00907BD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odine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utvrđeno je kako j</w:t>
      </w:r>
      <w:r w:rsidR="00E77B9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isti iz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rađen u skladu s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Uputstvom o metodologiji u postupku planiranja, praćenja i izvještavanja u institucijama </w:t>
      </w:r>
      <w:r w:rsidR="008D5A9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3C75B696" w14:textId="1F04951E" w:rsidR="00E034AB" w:rsidRPr="007C2670" w:rsidRDefault="00D46E37" w:rsidP="00473F89">
      <w:pPr>
        <w:spacing w:after="120" w:line="240" w:lineRule="auto"/>
        <w:ind w:left="-5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Strateški okvir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52587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institucija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BiH </w:t>
      </w:r>
      <w:r w:rsidR="00907BD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za period 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2016.</w:t>
      </w:r>
      <w:r w:rsidR="008D5A9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do </w:t>
      </w:r>
      <w:r w:rsidR="00907BD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201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8.</w:t>
      </w:r>
      <w:r w:rsidR="008D5A9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godine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predstavlja </w:t>
      </w:r>
      <w:r w:rsidR="0052587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polaznu tačku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za pripremu </w:t>
      </w:r>
      <w:r w:rsidR="0052587F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MP BiH. U okviru četrnaest strateških ciljeva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8D5A9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004C6D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07BD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doprinosi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provođenju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strateškog cilja</w:t>
      </w:r>
      <w:r w:rsidR="00E034AB" w:rsidRPr="00C77FF0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: </w:t>
      </w:r>
      <w:r w:rsidR="0001177B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„</w:t>
      </w:r>
      <w:r w:rsidR="0052587F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14. </w:t>
      </w:r>
      <w:r w:rsidR="0001177B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Ubrzati proces tranzicije i izgradnje kapaciteta“ </w:t>
      </w:r>
      <w:r w:rsidR="008E44FA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u </w:t>
      </w:r>
      <w:r w:rsidR="008E44FA" w:rsidRPr="007C2670">
        <w:rPr>
          <w:rFonts w:ascii="Times New Roman" w:eastAsia="Times New Roman" w:hAnsi="Times New Roman" w:cs="Times New Roman"/>
          <w:color w:val="000000"/>
          <w:sz w:val="24"/>
          <w:szCs w:val="24"/>
        </w:rPr>
        <w:t>okviru principa „</w:t>
      </w:r>
      <w:r w:rsidR="008E44FA" w:rsidRPr="007C26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Upravljanje u funkciji rasta“</w:t>
      </w:r>
      <w:r w:rsidR="008E44FA" w:rsidRPr="007C26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DB0ED9" w14:textId="4F146B6A" w:rsidR="0001177B" w:rsidRPr="00C77FF0" w:rsidRDefault="006A60B9" w:rsidP="00473F89">
      <w:pPr>
        <w:spacing w:after="120" w:line="240" w:lineRule="auto"/>
        <w:ind w:left="-5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 MP BiH je utvrđeno da direktno doprinosi razvoju BiH kroz provođenje dva s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rednjor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očna cilja</w:t>
      </w:r>
      <w:r w:rsidR="00907BD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koja su izvedena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iz 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već</w:t>
      </w:r>
      <w:r w:rsidR="00D46E37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navedenog strateškog cilja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Za svaki od ovih </w:t>
      </w:r>
      <w:r w:rsidR="00CC0A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posebnih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ciljeva utvrđena su po tri specifična cil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ja, koji se odnose na zakonske nadležnosti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i očekivani mandat i misiju MP BiH, kao i izazove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s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kojim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se suočava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Provođenje SPR MP BiH organizov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ano je 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kroz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p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rograme,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koji 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sadrže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jedan ili više projekata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 kao sredst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va za ostvarenje ciljeva</w:t>
      </w:r>
      <w:r w:rsidR="0001177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32EF7F52" w14:textId="3EFBF166" w:rsidR="006A60B9" w:rsidRPr="00C77FF0" w:rsidRDefault="006A60B9" w:rsidP="00473F89">
      <w:pPr>
        <w:spacing w:after="120" w:line="240" w:lineRule="auto"/>
        <w:ind w:left="-6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U nastavku je 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tabelarni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pregled s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rednjoročni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h 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eva 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Vijeća ministara (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)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BiH 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 MP BiH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uz pregled pripadajućih posebnih</w:t>
      </w:r>
      <w:r w:rsidR="00F261B3" w:rsidRPr="00C77FF0">
        <w:rPr>
          <w:rStyle w:val="FootnoteReference"/>
          <w:rFonts w:ascii="Times New Roman" w:eastAsia="PMingLiU" w:hAnsi="Times New Roman" w:cs="Times New Roman"/>
          <w:sz w:val="24"/>
          <w:szCs w:val="24"/>
          <w:lang w:eastAsia="zh-TW" w:bidi="as-IN"/>
        </w:rPr>
        <w:footnoteReference w:id="1"/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ciljeva 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 BiH,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za period </w:t>
      </w:r>
      <w:r w:rsidR="008E44FA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od 2016. do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20</w:t>
      </w:r>
      <w:r w:rsidR="00E034A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18. godine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62"/>
        <w:gridCol w:w="7090"/>
      </w:tblGrid>
      <w:tr w:rsidR="006617DA" w:rsidRPr="00473F89" w14:paraId="7A30C2E9" w14:textId="77777777" w:rsidTr="00473F89">
        <w:tc>
          <w:tcPr>
            <w:tcW w:w="1872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2BEAF7C3" w14:textId="77777777" w:rsidR="006617DA" w:rsidRPr="00473F89" w:rsidRDefault="006617DA" w:rsidP="0004549D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473F8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Srednjoročni cilj 1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077A298D" w14:textId="77777777" w:rsidR="006617DA" w:rsidRPr="00473F89" w:rsidRDefault="003E0E4A" w:rsidP="008E4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F89">
              <w:rPr>
                <w:rFonts w:ascii="Times New Roman" w:hAnsi="Times New Roman" w:cs="Times New Roman"/>
                <w:sz w:val="20"/>
                <w:szCs w:val="20"/>
              </w:rPr>
              <w:t>Unapređenje</w:t>
            </w:r>
            <w:r w:rsidR="006617DA" w:rsidRPr="00473F89">
              <w:rPr>
                <w:rFonts w:ascii="Times New Roman" w:hAnsi="Times New Roman" w:cs="Times New Roman"/>
                <w:sz w:val="20"/>
                <w:szCs w:val="20"/>
              </w:rPr>
              <w:t xml:space="preserve"> efikasnosti, odgovornosti, kvalitete i nezavisnosti sektora pravde u BiH</w:t>
            </w:r>
            <w:r w:rsidR="00776BAB" w:rsidRPr="00473F89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</w:tr>
      <w:tr w:rsidR="006617DA" w:rsidRPr="00473F89" w14:paraId="493705E8" w14:textId="77777777" w:rsidTr="00473F89">
        <w:tc>
          <w:tcPr>
            <w:tcW w:w="1872" w:type="dxa"/>
            <w:tcBorders>
              <w:top w:val="single" w:sz="4" w:space="0" w:color="auto"/>
            </w:tcBorders>
            <w:shd w:val="clear" w:color="auto" w:fill="ACB9CA" w:themeFill="text2" w:themeFillTint="66"/>
            <w:vAlign w:val="center"/>
          </w:tcPr>
          <w:p w14:paraId="144386E6" w14:textId="77777777" w:rsidR="006617DA" w:rsidRPr="00473F89" w:rsidRDefault="006617DA" w:rsidP="00650256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473F8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Posebni cilj 1</w:t>
            </w:r>
          </w:p>
        </w:tc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14:paraId="3A71104C" w14:textId="77777777" w:rsidR="006617DA" w:rsidRPr="00473F89" w:rsidRDefault="006617DA" w:rsidP="008E4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F89">
              <w:rPr>
                <w:rFonts w:ascii="Times New Roman" w:hAnsi="Times New Roman" w:cs="Times New Roman"/>
                <w:sz w:val="20"/>
                <w:szCs w:val="20"/>
              </w:rPr>
              <w:t>Dalje jačanje i održavanje nezavisnosti, odgovornosti, efikasnosti, profesionalnosti i usklađenosti pravosudnog sistema koji osigurava vladavinu prava i jednak pristup pravdi u BiH</w:t>
            </w:r>
          </w:p>
        </w:tc>
      </w:tr>
      <w:tr w:rsidR="006617DA" w:rsidRPr="00473F89" w14:paraId="1CD02EBB" w14:textId="77777777" w:rsidTr="00473F89">
        <w:tc>
          <w:tcPr>
            <w:tcW w:w="1872" w:type="dxa"/>
            <w:shd w:val="clear" w:color="auto" w:fill="ACB9CA" w:themeFill="text2" w:themeFillTint="66"/>
            <w:vAlign w:val="center"/>
          </w:tcPr>
          <w:p w14:paraId="2B1AF799" w14:textId="77777777" w:rsidR="006617DA" w:rsidRPr="00473F89" w:rsidRDefault="006617DA" w:rsidP="00650256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473F8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Posebni cilj 2</w:t>
            </w:r>
          </w:p>
        </w:tc>
        <w:tc>
          <w:tcPr>
            <w:tcW w:w="7200" w:type="dxa"/>
            <w:vAlign w:val="center"/>
          </w:tcPr>
          <w:p w14:paraId="235C0C8B" w14:textId="77777777" w:rsidR="006617DA" w:rsidRPr="00473F89" w:rsidRDefault="006617DA" w:rsidP="008E4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F89">
              <w:rPr>
                <w:rFonts w:ascii="Times New Roman" w:hAnsi="Times New Roman" w:cs="Times New Roman"/>
                <w:sz w:val="20"/>
                <w:szCs w:val="20"/>
              </w:rPr>
              <w:t>Dalje razvijanje usklađenijeg sistema izvršenja krivičnih sankcija u BiH koji, poštujući evropske standarde, osigurava human i zakonit tretman i efikasnu resocijalizaciju u zatvorima u BiH</w:t>
            </w:r>
          </w:p>
        </w:tc>
      </w:tr>
      <w:tr w:rsidR="006617DA" w:rsidRPr="00473F89" w14:paraId="6D87DA5A" w14:textId="77777777" w:rsidTr="00473F89">
        <w:tc>
          <w:tcPr>
            <w:tcW w:w="1872" w:type="dxa"/>
            <w:shd w:val="clear" w:color="auto" w:fill="ACB9CA" w:themeFill="text2" w:themeFillTint="66"/>
            <w:vAlign w:val="center"/>
          </w:tcPr>
          <w:p w14:paraId="2971037A" w14:textId="77777777" w:rsidR="006617DA" w:rsidRPr="00473F89" w:rsidRDefault="006617DA" w:rsidP="00650256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473F8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Posebni cilj 3</w:t>
            </w:r>
          </w:p>
        </w:tc>
        <w:tc>
          <w:tcPr>
            <w:tcW w:w="7200" w:type="dxa"/>
            <w:vAlign w:val="center"/>
          </w:tcPr>
          <w:p w14:paraId="4C75FCDB" w14:textId="2E0C59E1" w:rsidR="006617DA" w:rsidRPr="00473F89" w:rsidRDefault="7C1D1F8F" w:rsidP="008E4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F89">
              <w:rPr>
                <w:rFonts w:ascii="Times New Roman" w:hAnsi="Times New Roman" w:cs="Times New Roman"/>
                <w:sz w:val="20"/>
                <w:szCs w:val="20"/>
              </w:rPr>
              <w:t>Dalje unapređenje sistema međunarodne pravne pomoći</w:t>
            </w:r>
          </w:p>
        </w:tc>
      </w:tr>
      <w:tr w:rsidR="006617DA" w:rsidRPr="00473F89" w14:paraId="585CE8D9" w14:textId="77777777" w:rsidTr="00473F89">
        <w:tc>
          <w:tcPr>
            <w:tcW w:w="1872" w:type="dxa"/>
            <w:shd w:val="clear" w:color="auto" w:fill="44546A" w:themeFill="text2"/>
            <w:vAlign w:val="center"/>
          </w:tcPr>
          <w:p w14:paraId="06B16F56" w14:textId="77777777" w:rsidR="006617DA" w:rsidRPr="00473F89" w:rsidRDefault="006617DA" w:rsidP="008E44FA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473F8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Srednjoročni cilj 2</w:t>
            </w:r>
          </w:p>
        </w:tc>
        <w:tc>
          <w:tcPr>
            <w:tcW w:w="7200" w:type="dxa"/>
            <w:vAlign w:val="center"/>
          </w:tcPr>
          <w:p w14:paraId="6AC8DFE1" w14:textId="77777777" w:rsidR="006617DA" w:rsidRPr="00473F89" w:rsidRDefault="003E0E4A" w:rsidP="008E4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F89">
              <w:rPr>
                <w:rFonts w:ascii="Times New Roman" w:hAnsi="Times New Roman" w:cs="Times New Roman"/>
                <w:sz w:val="20"/>
                <w:szCs w:val="20"/>
              </w:rPr>
              <w:t>Unapređenje</w:t>
            </w:r>
            <w:r w:rsidR="006617DA" w:rsidRPr="00473F89">
              <w:rPr>
                <w:rFonts w:ascii="Times New Roman" w:hAnsi="Times New Roman" w:cs="Times New Roman"/>
                <w:sz w:val="20"/>
                <w:szCs w:val="20"/>
              </w:rPr>
              <w:t xml:space="preserve"> izrade politika, procesa integracije u EU i reforme javne uprave</w:t>
            </w:r>
            <w:r w:rsidR="00D10F69" w:rsidRPr="00473F89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</w:tr>
      <w:tr w:rsidR="006617DA" w:rsidRPr="00473F89" w14:paraId="584BB9C1" w14:textId="77777777" w:rsidTr="00473F89">
        <w:tc>
          <w:tcPr>
            <w:tcW w:w="1872" w:type="dxa"/>
            <w:shd w:val="clear" w:color="auto" w:fill="ACB9CA" w:themeFill="text2" w:themeFillTint="66"/>
            <w:vAlign w:val="center"/>
          </w:tcPr>
          <w:p w14:paraId="1F8243E4" w14:textId="77777777" w:rsidR="006617DA" w:rsidRPr="00473F89" w:rsidRDefault="006617DA" w:rsidP="008E44FA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473F8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Posebni cilj 1</w:t>
            </w:r>
          </w:p>
        </w:tc>
        <w:tc>
          <w:tcPr>
            <w:tcW w:w="7200" w:type="dxa"/>
            <w:vAlign w:val="center"/>
          </w:tcPr>
          <w:p w14:paraId="29577AA8" w14:textId="77777777" w:rsidR="006617DA" w:rsidRPr="00473F89" w:rsidRDefault="006617DA" w:rsidP="008E4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F89">
              <w:rPr>
                <w:rFonts w:ascii="Times New Roman" w:hAnsi="Times New Roman" w:cs="Times New Roman"/>
                <w:sz w:val="20"/>
                <w:szCs w:val="20"/>
              </w:rPr>
              <w:t>Stvaranje pretpostavki za aktivniji angažman civilnog društva</w:t>
            </w:r>
          </w:p>
        </w:tc>
      </w:tr>
      <w:tr w:rsidR="006617DA" w:rsidRPr="00473F89" w14:paraId="282ED8B1" w14:textId="77777777" w:rsidTr="00473F89">
        <w:tc>
          <w:tcPr>
            <w:tcW w:w="1872" w:type="dxa"/>
            <w:shd w:val="clear" w:color="auto" w:fill="ACB9CA" w:themeFill="text2" w:themeFillTint="66"/>
            <w:vAlign w:val="center"/>
          </w:tcPr>
          <w:p w14:paraId="74B2C673" w14:textId="77777777" w:rsidR="006617DA" w:rsidRPr="00473F89" w:rsidRDefault="006617DA" w:rsidP="008E44FA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473F8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Posebni cilj 2</w:t>
            </w:r>
          </w:p>
        </w:tc>
        <w:tc>
          <w:tcPr>
            <w:tcW w:w="7200" w:type="dxa"/>
            <w:vAlign w:val="center"/>
          </w:tcPr>
          <w:p w14:paraId="73583BCA" w14:textId="3202BFEE" w:rsidR="006617DA" w:rsidRPr="00473F89" w:rsidRDefault="7C1D1F8F" w:rsidP="008E4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F89">
              <w:rPr>
                <w:rFonts w:ascii="Times New Roman" w:hAnsi="Times New Roman" w:cs="Times New Roman"/>
                <w:sz w:val="20"/>
                <w:szCs w:val="20"/>
              </w:rPr>
              <w:t>Dalje unapređenje sistema uprave i upravne inspekcije</w:t>
            </w:r>
          </w:p>
        </w:tc>
      </w:tr>
      <w:tr w:rsidR="006617DA" w:rsidRPr="00473F89" w14:paraId="53501A0C" w14:textId="77777777" w:rsidTr="00473F89">
        <w:tc>
          <w:tcPr>
            <w:tcW w:w="1872" w:type="dxa"/>
            <w:shd w:val="clear" w:color="auto" w:fill="ACB9CA" w:themeFill="text2" w:themeFillTint="66"/>
            <w:vAlign w:val="center"/>
          </w:tcPr>
          <w:p w14:paraId="6C2E7632" w14:textId="77777777" w:rsidR="006617DA" w:rsidRPr="00473F89" w:rsidRDefault="006617DA" w:rsidP="008E44FA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473F8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Posebni cilj 3</w:t>
            </w:r>
          </w:p>
        </w:tc>
        <w:tc>
          <w:tcPr>
            <w:tcW w:w="7200" w:type="dxa"/>
            <w:vAlign w:val="center"/>
          </w:tcPr>
          <w:p w14:paraId="132D8F77" w14:textId="77777777" w:rsidR="006617DA" w:rsidRPr="00473F89" w:rsidRDefault="006617DA" w:rsidP="008E4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F89">
              <w:rPr>
                <w:rFonts w:ascii="Times New Roman" w:hAnsi="Times New Roman" w:cs="Times New Roman"/>
                <w:sz w:val="20"/>
                <w:szCs w:val="20"/>
              </w:rPr>
              <w:t>Uspješna koordinacija i jačanje uloga i odgovornosti najvažnijih institucija u sektoru pravde u BiH</w:t>
            </w:r>
          </w:p>
        </w:tc>
      </w:tr>
    </w:tbl>
    <w:p w14:paraId="2AE4D941" w14:textId="77777777" w:rsidR="00473F89" w:rsidRDefault="00473F89">
      <w:pPr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br w:type="page"/>
      </w:r>
    </w:p>
    <w:p w14:paraId="532094EC" w14:textId="1F6299CA" w:rsidR="00E034AB" w:rsidRPr="00C77FF0" w:rsidRDefault="00E034AB" w:rsidP="008A4D2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lastRenderedPageBreak/>
        <w:t xml:space="preserve">U okviru 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srednjoročnoga</w:t>
      </w:r>
      <w:r w:rsidR="008A4D2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cilja 1, </w:t>
      </w:r>
      <w:r w:rsidR="00BA0C58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posebnog cilja 1</w:t>
      </w:r>
      <w:r w:rsidR="008A4D2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BA0C58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8A4D2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definis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ana su </w:t>
      </w:r>
      <w:r w:rsidR="008A4D2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tri</w:t>
      </w:r>
      <w:r w:rsidR="00BA0C58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programa:</w:t>
      </w:r>
    </w:p>
    <w:p w14:paraId="00C44A27" w14:textId="77777777" w:rsidR="00E034AB" w:rsidRPr="007C2670" w:rsidRDefault="00E034AB" w:rsidP="002A5A86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Program 1</w:t>
      </w:r>
      <w:r w:rsidR="002E33E5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: </w:t>
      </w:r>
      <w:r w:rsidR="002E33E5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Izrada zakona iz oblasti pravosuđ</w:t>
      </w:r>
      <w:r w:rsidR="00EC405E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a,</w:t>
      </w:r>
    </w:p>
    <w:p w14:paraId="7F7273CB" w14:textId="77777777" w:rsidR="008A4D28" w:rsidRPr="007C2670" w:rsidRDefault="00E034AB" w:rsidP="002A5A86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Program 2: </w:t>
      </w:r>
      <w:r w:rsidR="002E33E5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Pravosudna uprav</w:t>
      </w:r>
      <w:r w:rsidR="00EC405E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a,</w:t>
      </w:r>
    </w:p>
    <w:p w14:paraId="61C5640E" w14:textId="0B32BD32" w:rsidR="002E33E5" w:rsidRPr="007C2670" w:rsidRDefault="002E33E5" w:rsidP="002A5A86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Program 3: </w:t>
      </w:r>
      <w:r w:rsidRPr="007C2670">
        <w:rPr>
          <w:rFonts w:ascii="Times New Roman" w:hAnsi="Times New Roman" w:cs="Times New Roman"/>
          <w:sz w:val="24"/>
          <w:szCs w:val="24"/>
        </w:rPr>
        <w:t>Međunarodna pravosudna saradnj</w:t>
      </w:r>
      <w:r w:rsidR="008A4D28" w:rsidRPr="007C2670">
        <w:rPr>
          <w:rFonts w:ascii="Times New Roman" w:hAnsi="Times New Roman" w:cs="Times New Roman"/>
          <w:sz w:val="24"/>
          <w:szCs w:val="24"/>
        </w:rPr>
        <w:t>a.</w:t>
      </w:r>
    </w:p>
    <w:p w14:paraId="77B10181" w14:textId="24B28B63" w:rsidR="00E034AB" w:rsidRPr="007C2670" w:rsidRDefault="00E034AB" w:rsidP="008A4D28">
      <w:pPr>
        <w:spacing w:after="120" w:line="240" w:lineRule="auto"/>
        <w:ind w:left="-5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U okviru </w:t>
      </w:r>
      <w:r w:rsidR="00F261B3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srednjoročnoga</w:t>
      </w:r>
      <w:r w:rsidR="002E33E5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cilja 1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</w:t>
      </w:r>
      <w:r w:rsidR="00BA0C5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posebnog cilja 2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BA0C5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definisana</w:t>
      </w:r>
      <w:r w:rsidR="002E33E5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su 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tri</w:t>
      </w: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pr</w:t>
      </w:r>
      <w:r w:rsidR="00BA0C5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ograma:</w:t>
      </w:r>
    </w:p>
    <w:p w14:paraId="120DA46A" w14:textId="77777777" w:rsidR="00E034AB" w:rsidRPr="007C2670" w:rsidRDefault="002E33E5" w:rsidP="002A5A86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Program 4</w:t>
      </w:r>
      <w:r w:rsidR="00E034AB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: 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Upravljanje sistemom za izvršenje krivičnih sankcija BiH</w:t>
      </w:r>
      <w:r w:rsidR="00BA0C5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</w:p>
    <w:p w14:paraId="14B6C508" w14:textId="77777777" w:rsidR="002E33E5" w:rsidRPr="007C2670" w:rsidRDefault="002E33E5" w:rsidP="002A5A86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Program 5</w:t>
      </w:r>
      <w:r w:rsidR="00E034AB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: </w:t>
      </w:r>
      <w:r w:rsidR="003E0E4A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Unapređenje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primjene alternativnih sankcija u BiH</w:t>
      </w:r>
      <w:r w:rsidR="00BA0C5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</w:p>
    <w:p w14:paraId="25AB3A36" w14:textId="32989C4C" w:rsidR="002E33E5" w:rsidRPr="007C2670" w:rsidRDefault="002E33E5" w:rsidP="002A5A86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Program 6: </w:t>
      </w:r>
      <w:r w:rsidR="003E0E4A" w:rsidRPr="007C2670">
        <w:rPr>
          <w:rFonts w:ascii="Times New Roman" w:hAnsi="Times New Roman" w:cs="Times New Roman"/>
          <w:sz w:val="24"/>
          <w:szCs w:val="24"/>
        </w:rPr>
        <w:t>Unapređenje</w:t>
      </w:r>
      <w:r w:rsidRPr="007C2670">
        <w:rPr>
          <w:rFonts w:ascii="Times New Roman" w:hAnsi="Times New Roman" w:cs="Times New Roman"/>
          <w:sz w:val="24"/>
          <w:szCs w:val="24"/>
        </w:rPr>
        <w:t xml:space="preserve"> primjene međunarodnih standard</w:t>
      </w:r>
      <w:r w:rsidR="008A4D28" w:rsidRPr="007C2670">
        <w:rPr>
          <w:rFonts w:ascii="Times New Roman" w:hAnsi="Times New Roman" w:cs="Times New Roman"/>
          <w:sz w:val="24"/>
          <w:szCs w:val="24"/>
        </w:rPr>
        <w:t>a.</w:t>
      </w:r>
    </w:p>
    <w:p w14:paraId="7ADFB2BA" w14:textId="709A26DC" w:rsidR="002E33E5" w:rsidRPr="007C2670" w:rsidRDefault="002E33E5" w:rsidP="008A4D28">
      <w:pPr>
        <w:spacing w:after="120" w:line="240" w:lineRule="auto"/>
        <w:ind w:left="-5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U okviru </w:t>
      </w:r>
      <w:r w:rsidR="00F261B3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srednjoročnoga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cilja 1, </w:t>
      </w:r>
      <w:r w:rsidR="00BA0C5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posebnog cilja 3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BA0C5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definisana</w:t>
      </w: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su 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tri</w:t>
      </w: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programa:</w:t>
      </w:r>
    </w:p>
    <w:p w14:paraId="1A67C507" w14:textId="77777777" w:rsidR="00E034AB" w:rsidRPr="007C2670" w:rsidRDefault="002E33E5" w:rsidP="002A5A86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Program 7: 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Pru</w:t>
      </w:r>
      <w:r w:rsidR="00F261B3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žanje međunarodne pravne pomoći,</w:t>
      </w:r>
    </w:p>
    <w:p w14:paraId="763A5D85" w14:textId="46EA238C" w:rsidR="002E33E5" w:rsidRPr="007C2670" w:rsidRDefault="002E33E5" w:rsidP="002A5A86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Program 8: </w:t>
      </w:r>
      <w:r w:rsidR="008A4D2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Ratifikov</w:t>
      </w:r>
      <w:r w:rsidR="00AB3D63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anje konvencija, usklađivanje zakonodavstva i </w:t>
      </w:r>
      <w:r w:rsidR="008A4D2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zaključivanje</w:t>
      </w:r>
      <w:r w:rsidR="00AB3D63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ugovor</w:t>
      </w:r>
      <w:r w:rsidR="00EC405E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a,</w:t>
      </w:r>
    </w:p>
    <w:p w14:paraId="10EBAAED" w14:textId="5C08F4B2" w:rsidR="002E33E5" w:rsidRPr="007C2670" w:rsidRDefault="002E33E5" w:rsidP="002A5A86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Program 9: </w:t>
      </w:r>
      <w:r w:rsidR="00AB3D63" w:rsidRPr="007C2670">
        <w:rPr>
          <w:rFonts w:ascii="Times New Roman" w:hAnsi="Times New Roman" w:cs="Times New Roman"/>
          <w:sz w:val="24"/>
          <w:szCs w:val="24"/>
        </w:rPr>
        <w:t>Međuentitetska pravna pomoć i saradnj</w:t>
      </w:r>
      <w:r w:rsidR="008A4D28" w:rsidRPr="007C2670">
        <w:rPr>
          <w:rFonts w:ascii="Times New Roman" w:hAnsi="Times New Roman" w:cs="Times New Roman"/>
          <w:sz w:val="24"/>
          <w:szCs w:val="24"/>
        </w:rPr>
        <w:t>a.</w:t>
      </w:r>
    </w:p>
    <w:p w14:paraId="21110F9E" w14:textId="3D26DFC8" w:rsidR="00AB3D63" w:rsidRPr="007C2670" w:rsidRDefault="00E034AB" w:rsidP="008A4D28">
      <w:pPr>
        <w:tabs>
          <w:tab w:val="left" w:pos="284"/>
        </w:tabs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Programi </w:t>
      </w:r>
      <w:r w:rsidR="00F261B3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Srednjoročnoga</w:t>
      </w:r>
      <w:r w:rsidR="00EC405E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cilja 1 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sadrže</w:t>
      </w:r>
      <w:r w:rsidR="00BA0C5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AB3D63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49 </w:t>
      </w:r>
      <w:r w:rsidR="0044775D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projekat</w:t>
      </w:r>
      <w:r w:rsidR="00AB3D63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a.</w:t>
      </w:r>
    </w:p>
    <w:p w14:paraId="174218F7" w14:textId="380446D4" w:rsidR="00AB3D63" w:rsidRPr="007C2670" w:rsidRDefault="00AB3D63" w:rsidP="008A4D28">
      <w:pPr>
        <w:tabs>
          <w:tab w:val="left" w:pos="284"/>
        </w:tabs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U okviru </w:t>
      </w:r>
      <w:r w:rsidR="00F261B3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srednjoročnoga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cilja 2, </w:t>
      </w: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posebnog cilja 1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definis</w:t>
      </w:r>
      <w:r w:rsidR="00BA0C5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an</w:t>
      </w:r>
      <w:r w:rsidR="00665B31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je 1</w:t>
      </w:r>
      <w:r w:rsidR="00BA0C5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program:</w:t>
      </w:r>
    </w:p>
    <w:p w14:paraId="68011C03" w14:textId="5D59B349" w:rsidR="00665B31" w:rsidRPr="007C2670" w:rsidRDefault="00AB3D63" w:rsidP="002A5A86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Program 1: </w:t>
      </w:r>
      <w:r w:rsidR="00665B31" w:rsidRPr="007C2670">
        <w:rPr>
          <w:rFonts w:ascii="Times New Roman" w:hAnsi="Times New Roman" w:cs="Times New Roman"/>
          <w:sz w:val="24"/>
          <w:szCs w:val="24"/>
        </w:rPr>
        <w:t>Okvir za aktivniji angažman civilnog društv</w:t>
      </w:r>
      <w:r w:rsidR="008A4D28" w:rsidRPr="007C2670">
        <w:rPr>
          <w:rFonts w:ascii="Times New Roman" w:hAnsi="Times New Roman" w:cs="Times New Roman"/>
          <w:sz w:val="24"/>
          <w:szCs w:val="24"/>
        </w:rPr>
        <w:t>a.</w:t>
      </w:r>
    </w:p>
    <w:p w14:paraId="15D54123" w14:textId="5B996B6D" w:rsidR="00665B31" w:rsidRPr="007C2670" w:rsidRDefault="00665B31" w:rsidP="008A4D28">
      <w:pPr>
        <w:tabs>
          <w:tab w:val="left" w:pos="284"/>
        </w:tabs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 okviru posebnog cilja 2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F261B3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srednjoročnoga</w:t>
      </w: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cilja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 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definisana</w:t>
      </w: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su 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dva</w:t>
      </w: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programa:</w:t>
      </w:r>
    </w:p>
    <w:p w14:paraId="4057BAF9" w14:textId="77777777" w:rsidR="00665B31" w:rsidRPr="002A5A86" w:rsidRDefault="00AB3D63" w:rsidP="002A5A86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Program 2: </w:t>
      </w:r>
      <w:r w:rsidR="003E0E4A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Unapređenje</w:t>
      </w:r>
      <w:r w:rsidR="00665B31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zakonodavnog okvira, kapaciteta i vođenja upravnog postupk</w:t>
      </w:r>
      <w:r w:rsidR="00EC405E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a,</w:t>
      </w:r>
    </w:p>
    <w:p w14:paraId="50718DC2" w14:textId="04D4A563" w:rsidR="00AB3D63" w:rsidRPr="007C2670" w:rsidRDefault="00AB3D63" w:rsidP="002A5A86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Program 3: </w:t>
      </w:r>
      <w:r w:rsidR="00665B31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Provođenje </w:t>
      </w:r>
      <w:r w:rsidR="00BA0C5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inspekcijskoga</w:t>
      </w:r>
      <w:r w:rsidR="00665B31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nadzor</w:t>
      </w:r>
      <w:r w:rsidR="008A4D2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a.</w:t>
      </w:r>
    </w:p>
    <w:p w14:paraId="0C28B97F" w14:textId="64069B48" w:rsidR="00665B31" w:rsidRPr="007C2670" w:rsidRDefault="00665B31" w:rsidP="002A5A86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 okviru posebnog cilja 3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F261B3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srednjoročnoga</w:t>
      </w: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cilja 2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definisana</w:t>
      </w: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su </w:t>
      </w:r>
      <w:r w:rsidR="008A4D28"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četiri</w:t>
      </w: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programa:</w:t>
      </w:r>
    </w:p>
    <w:p w14:paraId="484D40E3" w14:textId="77777777" w:rsidR="00665B31" w:rsidRPr="007C2670" w:rsidRDefault="00665B31" w:rsidP="002A5A86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Program 4: </w:t>
      </w:r>
      <w:r w:rsidRPr="007C2670">
        <w:rPr>
          <w:rFonts w:ascii="Times New Roman" w:hAnsi="Times New Roman" w:cs="Times New Roman"/>
          <w:sz w:val="24"/>
          <w:szCs w:val="24"/>
        </w:rPr>
        <w:t>Upravljanje i koordinacija u sektoru pravde u Bi</w:t>
      </w:r>
      <w:r w:rsidR="00EC405E" w:rsidRPr="007C2670">
        <w:rPr>
          <w:rFonts w:ascii="Times New Roman" w:hAnsi="Times New Roman" w:cs="Times New Roman"/>
          <w:sz w:val="24"/>
          <w:szCs w:val="24"/>
        </w:rPr>
        <w:t>H,</w:t>
      </w:r>
    </w:p>
    <w:p w14:paraId="465B6607" w14:textId="77777777" w:rsidR="00665B31" w:rsidRPr="007C2670" w:rsidRDefault="00665B31" w:rsidP="002A5A86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Program 5: </w:t>
      </w:r>
      <w:r w:rsidRPr="007C2670">
        <w:rPr>
          <w:rFonts w:ascii="Times New Roman" w:hAnsi="Times New Roman" w:cs="Times New Roman"/>
          <w:sz w:val="24"/>
          <w:szCs w:val="24"/>
        </w:rPr>
        <w:t>Jačanje kapaciteta za izradu analiza i politika u sektoru pravde u Bi</w:t>
      </w:r>
      <w:r w:rsidR="00EC405E" w:rsidRPr="007C2670">
        <w:rPr>
          <w:rFonts w:ascii="Times New Roman" w:hAnsi="Times New Roman" w:cs="Times New Roman"/>
          <w:sz w:val="24"/>
          <w:szCs w:val="24"/>
        </w:rPr>
        <w:t>H,</w:t>
      </w:r>
    </w:p>
    <w:p w14:paraId="71E2DBD0" w14:textId="77777777" w:rsidR="00665B31" w:rsidRPr="007C2670" w:rsidRDefault="00665B31" w:rsidP="002A5A86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Program 6: </w:t>
      </w:r>
      <w:r w:rsidRPr="007C2670">
        <w:rPr>
          <w:rFonts w:ascii="Times New Roman" w:hAnsi="Times New Roman" w:cs="Times New Roman"/>
          <w:sz w:val="24"/>
          <w:szCs w:val="24"/>
        </w:rPr>
        <w:t>Donatorska koordinacija u sektoru pravde u Bi</w:t>
      </w:r>
      <w:r w:rsidR="00EC405E" w:rsidRPr="007C2670">
        <w:rPr>
          <w:rFonts w:ascii="Times New Roman" w:hAnsi="Times New Roman" w:cs="Times New Roman"/>
          <w:sz w:val="24"/>
          <w:szCs w:val="24"/>
        </w:rPr>
        <w:t>H,</w:t>
      </w:r>
    </w:p>
    <w:p w14:paraId="393F734D" w14:textId="77777777" w:rsidR="0044775D" w:rsidRPr="008A4D28" w:rsidRDefault="00665B31" w:rsidP="002A5A86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</w:pPr>
      <w:r w:rsidRPr="007C267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Program 7:</w:t>
      </w:r>
      <w:r w:rsidRPr="005E192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44775D" w:rsidRPr="008A4D2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Registracija zalog</w:t>
      </w:r>
      <w:r w:rsidR="00EC405E" w:rsidRPr="008A4D2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a.</w:t>
      </w:r>
    </w:p>
    <w:p w14:paraId="24E3F623" w14:textId="2BE7C641" w:rsidR="0044775D" w:rsidRPr="00C77FF0" w:rsidRDefault="0044775D" w:rsidP="008A4D28">
      <w:pPr>
        <w:tabs>
          <w:tab w:val="left" w:pos="284"/>
        </w:tabs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Programi 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cilj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 </w:t>
      </w:r>
      <w:r w:rsidR="008A4D2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sadrže</w:t>
      </w:r>
      <w:r w:rsidR="00EC405E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62 projekta.</w:t>
      </w:r>
    </w:p>
    <w:p w14:paraId="3521127A" w14:textId="6F621104" w:rsidR="008A4D28" w:rsidRDefault="00EC405E" w:rsidP="008A4D28">
      <w:pPr>
        <w:tabs>
          <w:tab w:val="left" w:pos="284"/>
        </w:tabs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Ukupan zbroj projekata za </w:t>
      </w:r>
      <w:r w:rsidR="0044775D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oba srednjoročna cilja u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navedenih</w:t>
      </w:r>
      <w:r w:rsidR="0044775D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16 programa iznosi 111.</w:t>
      </w:r>
      <w:r w:rsidR="0004549D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Prateći razvoj planova u periodu </w:t>
      </w:r>
      <w:r w:rsidR="009B727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od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2016.</w:t>
      </w:r>
      <w:r w:rsidR="009B727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do 2018. godine pri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mjetan je trend smanjivanja broja posebnih</w:t>
      </w:r>
      <w:r w:rsidR="009B727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ciljeva, programa i projekata, kao posljedica spajanja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manjih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cjelina u 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veću</w:t>
      </w:r>
      <w:r w:rsidR="009B727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što </w:t>
      </w:r>
      <w:r w:rsidR="009B727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upućuje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na trend „okrupnjavanja“</w:t>
      </w:r>
      <w:r w:rsidR="009B7279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F261B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koji je još uvijek u toku.</w:t>
      </w:r>
    </w:p>
    <w:p w14:paraId="34189A63" w14:textId="67330ADD" w:rsidR="00E034AB" w:rsidRPr="008A4D28" w:rsidRDefault="005E192D" w:rsidP="008A4D28">
      <w:pPr>
        <w:tabs>
          <w:tab w:val="left" w:pos="284"/>
        </w:tabs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>F</w:t>
      </w:r>
      <w:r w:rsidR="0004549D" w:rsidRPr="008A4D28"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>inans</w:t>
      </w:r>
      <w:r w:rsidR="00E034AB" w:rsidRPr="008A4D28"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>ijski okvir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TW" w:bidi="as-IN"/>
        </w:rPr>
        <w:t xml:space="preserve"> za poslovanje MP BiH naveden je u narednoj tabeli.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477"/>
        <w:gridCol w:w="1473"/>
        <w:gridCol w:w="1478"/>
        <w:gridCol w:w="1475"/>
        <w:gridCol w:w="1477"/>
        <w:gridCol w:w="1572"/>
      </w:tblGrid>
      <w:tr w:rsidR="009B7279" w:rsidRPr="00F554DB" w14:paraId="714B07E0" w14:textId="77777777" w:rsidTr="009B7279">
        <w:tc>
          <w:tcPr>
            <w:tcW w:w="1391" w:type="dxa"/>
            <w:shd w:val="clear" w:color="auto" w:fill="44546A" w:themeFill="text2"/>
            <w:vAlign w:val="center"/>
          </w:tcPr>
          <w:p w14:paraId="67CAD274" w14:textId="3289B577" w:rsidR="00D90A37" w:rsidRPr="00F554DB" w:rsidRDefault="009B7279" w:rsidP="00DE4086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R</w:t>
            </w:r>
            <w:r w:rsidR="00D90A37"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ashodi </w:t>
            </w:r>
            <w:r w:rsid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u </w:t>
            </w:r>
            <w:r w:rsidR="00D90A37"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2016.</w:t>
            </w:r>
          </w:p>
          <w:p w14:paraId="18B2407C" w14:textId="22A4DABD" w:rsidR="009B7279" w:rsidRPr="00F554DB" w:rsidRDefault="009B7279" w:rsidP="009B727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(KM)</w:t>
            </w:r>
          </w:p>
        </w:tc>
        <w:tc>
          <w:tcPr>
            <w:tcW w:w="1499" w:type="dxa"/>
            <w:shd w:val="clear" w:color="auto" w:fill="44546A" w:themeFill="text2"/>
            <w:vAlign w:val="center"/>
          </w:tcPr>
          <w:p w14:paraId="7AC3139A" w14:textId="68036308" w:rsidR="00D90A37" w:rsidRPr="00F554DB" w:rsidRDefault="009B7279" w:rsidP="00EC405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R</w:t>
            </w:r>
            <w:r w:rsidR="00D90A37"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ashodi </w:t>
            </w:r>
            <w:r w:rsid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u </w:t>
            </w:r>
            <w:r w:rsidR="00D90A37"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2017.</w:t>
            </w:r>
          </w:p>
          <w:p w14:paraId="0470D63A" w14:textId="29683F68" w:rsidR="009B7279" w:rsidRPr="00F554DB" w:rsidRDefault="009B7279" w:rsidP="009B727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(KM)</w:t>
            </w:r>
          </w:p>
        </w:tc>
        <w:tc>
          <w:tcPr>
            <w:tcW w:w="1499" w:type="dxa"/>
            <w:shd w:val="clear" w:color="auto" w:fill="44546A" w:themeFill="text2"/>
            <w:vAlign w:val="center"/>
          </w:tcPr>
          <w:p w14:paraId="65A785F3" w14:textId="64FB0AB6" w:rsidR="00D90A37" w:rsidRPr="00F554DB" w:rsidRDefault="009B7279" w:rsidP="00EC405E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R</w:t>
            </w:r>
            <w:r w:rsidR="00D90A37"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ashodi </w:t>
            </w:r>
            <w:r w:rsid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 xml:space="preserve">u </w:t>
            </w:r>
            <w:r w:rsidR="00D90A37"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2018.</w:t>
            </w:r>
          </w:p>
          <w:p w14:paraId="37517C57" w14:textId="1F553BD8" w:rsidR="009B7279" w:rsidRPr="00F554DB" w:rsidRDefault="009B7279" w:rsidP="009B727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(KM)</w:t>
            </w:r>
          </w:p>
        </w:tc>
        <w:tc>
          <w:tcPr>
            <w:tcW w:w="1675" w:type="dxa"/>
            <w:shd w:val="clear" w:color="auto" w:fill="44546A" w:themeFill="text2"/>
            <w:vAlign w:val="center"/>
          </w:tcPr>
          <w:p w14:paraId="683EC193" w14:textId="77777777" w:rsidR="009B7279" w:rsidRPr="00F554DB" w:rsidRDefault="00D90A37" w:rsidP="00DB0313">
            <w:pPr>
              <w:ind w:right="11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Ukupno</w:t>
            </w:r>
          </w:p>
          <w:p w14:paraId="5AFD8064" w14:textId="66352B00" w:rsidR="009B7279" w:rsidRPr="00F554DB" w:rsidRDefault="00D90A37" w:rsidP="00DB0313">
            <w:pPr>
              <w:ind w:right="11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2016.-</w:t>
            </w:r>
            <w:r w:rsidR="008D5A9B"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20</w:t>
            </w:r>
            <w:r w:rsidR="009B7279"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18.</w:t>
            </w:r>
          </w:p>
          <w:p w14:paraId="4F52F355" w14:textId="23E596C0" w:rsidR="00D90A37" w:rsidRPr="00F554DB" w:rsidRDefault="009B7279" w:rsidP="009B7279">
            <w:pPr>
              <w:ind w:right="11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(KM)</w:t>
            </w:r>
          </w:p>
        </w:tc>
        <w:tc>
          <w:tcPr>
            <w:tcW w:w="1482" w:type="dxa"/>
            <w:shd w:val="clear" w:color="auto" w:fill="44546A" w:themeFill="text2"/>
            <w:vAlign w:val="center"/>
          </w:tcPr>
          <w:p w14:paraId="4F4B0761" w14:textId="77777777" w:rsidR="009B7279" w:rsidRPr="00F554DB" w:rsidRDefault="00D90A37" w:rsidP="00DE4086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B</w:t>
            </w:r>
            <w:r w:rsidR="00DB0313"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udžet</w:t>
            </w:r>
          </w:p>
          <w:p w14:paraId="6E5C70BA" w14:textId="77777777" w:rsidR="00D90A37" w:rsidRPr="00F554DB" w:rsidRDefault="00D90A37" w:rsidP="00DE4086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2016.-</w:t>
            </w:r>
            <w:r w:rsidR="008D5A9B"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20</w:t>
            </w: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18.</w:t>
            </w:r>
          </w:p>
          <w:p w14:paraId="78FEDBC2" w14:textId="39D50FF4" w:rsidR="009B7279" w:rsidRPr="00F554DB" w:rsidRDefault="009B7279" w:rsidP="009B727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(KM)</w:t>
            </w:r>
          </w:p>
        </w:tc>
        <w:tc>
          <w:tcPr>
            <w:tcW w:w="1579" w:type="dxa"/>
            <w:shd w:val="clear" w:color="auto" w:fill="44546A" w:themeFill="text2"/>
            <w:vAlign w:val="center"/>
          </w:tcPr>
          <w:p w14:paraId="235D1246" w14:textId="77777777" w:rsidR="00D90A37" w:rsidRPr="00F554DB" w:rsidRDefault="00D90A37" w:rsidP="00DE408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Ukupno</w:t>
            </w:r>
            <w:r w:rsidR="00BB5EDE" w:rsidRPr="00F554DB">
              <w:rPr>
                <w:rStyle w:val="FootnoteReference"/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footnoteReference w:id="4"/>
            </w:r>
          </w:p>
          <w:p w14:paraId="7383071A" w14:textId="3DD1D311" w:rsidR="009B7279" w:rsidRPr="00F554DB" w:rsidRDefault="009B7279" w:rsidP="009B727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(</w:t>
            </w:r>
            <w:r w:rsidRPr="00F554D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KM)</w:t>
            </w:r>
          </w:p>
        </w:tc>
      </w:tr>
      <w:tr w:rsidR="00D90A37" w:rsidRPr="00F554DB" w14:paraId="34FDB808" w14:textId="77777777" w:rsidTr="009B7279">
        <w:tc>
          <w:tcPr>
            <w:tcW w:w="1391" w:type="dxa"/>
          </w:tcPr>
          <w:p w14:paraId="43B43E02" w14:textId="77777777" w:rsidR="00D90A37" w:rsidRPr="00F554DB" w:rsidRDefault="00D90A37" w:rsidP="00D90A37">
            <w:pPr>
              <w:spacing w:before="120" w:after="120"/>
              <w:ind w:right="117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12.801.000,00</w:t>
            </w:r>
          </w:p>
        </w:tc>
        <w:tc>
          <w:tcPr>
            <w:tcW w:w="1499" w:type="dxa"/>
          </w:tcPr>
          <w:p w14:paraId="0B2CDC47" w14:textId="77777777" w:rsidR="00D90A37" w:rsidRPr="00F554DB" w:rsidRDefault="00D90A37" w:rsidP="00D90A37">
            <w:pPr>
              <w:spacing w:before="120" w:after="120"/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15.882.000,00</w:t>
            </w:r>
          </w:p>
        </w:tc>
        <w:tc>
          <w:tcPr>
            <w:tcW w:w="1499" w:type="dxa"/>
          </w:tcPr>
          <w:p w14:paraId="768F11A0" w14:textId="77777777" w:rsidR="00D90A37" w:rsidRPr="00F554DB" w:rsidRDefault="00D90A37" w:rsidP="00D90A37">
            <w:pPr>
              <w:spacing w:before="120" w:after="120"/>
              <w:ind w:right="117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15.953.000,00</w:t>
            </w:r>
          </w:p>
        </w:tc>
        <w:tc>
          <w:tcPr>
            <w:tcW w:w="1675" w:type="dxa"/>
          </w:tcPr>
          <w:p w14:paraId="7F1971DF" w14:textId="77777777" w:rsidR="00D90A37" w:rsidRPr="00F554DB" w:rsidRDefault="00D90A37" w:rsidP="00D90A37">
            <w:pPr>
              <w:spacing w:before="120" w:after="120"/>
              <w:ind w:right="115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44.636.000,00</w:t>
            </w:r>
          </w:p>
        </w:tc>
        <w:tc>
          <w:tcPr>
            <w:tcW w:w="1482" w:type="dxa"/>
          </w:tcPr>
          <w:p w14:paraId="7C5A84AF" w14:textId="77777777" w:rsidR="00D90A37" w:rsidRPr="00F554DB" w:rsidRDefault="00D90A37" w:rsidP="00D90A37">
            <w:pPr>
              <w:spacing w:before="120" w:after="120"/>
              <w:ind w:right="116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44.636.000,00</w:t>
            </w:r>
          </w:p>
        </w:tc>
        <w:tc>
          <w:tcPr>
            <w:tcW w:w="1579" w:type="dxa"/>
          </w:tcPr>
          <w:p w14:paraId="252B3B17" w14:textId="77777777" w:rsidR="00D90A37" w:rsidRPr="00F554DB" w:rsidRDefault="00D90A37" w:rsidP="00D90A37">
            <w:pPr>
              <w:spacing w:before="120" w:after="120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F554DB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114.584.319,55</w:t>
            </w:r>
          </w:p>
        </w:tc>
      </w:tr>
    </w:tbl>
    <w:p w14:paraId="0F10720A" w14:textId="77777777" w:rsidR="00F554DB" w:rsidRDefault="00F554DB">
      <w:pPr>
        <w:rPr>
          <w:rFonts w:ascii="Times New Roman" w:eastAsia="Times New Roman" w:hAnsi="Times New Roman" w:cs="Times New Roman"/>
          <w:b/>
          <w:sz w:val="24"/>
          <w:szCs w:val="24"/>
          <w:lang w:eastAsia="zh-TW" w:bidi="as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TW" w:bidi="as-IN"/>
        </w:rPr>
        <w:br w:type="page"/>
      </w:r>
    </w:p>
    <w:p w14:paraId="5C3CE45B" w14:textId="77777777" w:rsidR="00F554DB" w:rsidRDefault="00DE4086" w:rsidP="00F554D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FF0">
        <w:rPr>
          <w:rFonts w:ascii="Times New Roman" w:hAnsi="Times New Roman" w:cs="Times New Roman"/>
          <w:sz w:val="24"/>
          <w:szCs w:val="24"/>
        </w:rPr>
        <w:lastRenderedPageBreak/>
        <w:t>SSPKPEI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je </w:t>
      </w:r>
      <w:r w:rsidR="00F554DB">
        <w:rPr>
          <w:rFonts w:ascii="Times New Roman" w:hAnsi="Times New Roman" w:cs="Times New Roman"/>
          <w:sz w:val="24"/>
          <w:szCs w:val="24"/>
        </w:rPr>
        <w:t>za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 w:rsidR="00F554DB">
        <w:rPr>
          <w:rFonts w:ascii="Times New Roman" w:hAnsi="Times New Roman" w:cs="Times New Roman"/>
          <w:sz w:val="24"/>
          <w:szCs w:val="24"/>
        </w:rPr>
        <w:t>evaluaciju</w:t>
      </w:r>
      <w:r w:rsidR="001914C9" w:rsidRPr="00C77FF0">
        <w:rPr>
          <w:rFonts w:ascii="Times New Roman" w:hAnsi="Times New Roman" w:cs="Times New Roman"/>
          <w:sz w:val="24"/>
          <w:szCs w:val="24"/>
        </w:rPr>
        <w:t xml:space="preserve"> koristi</w:t>
      </w:r>
      <w:r w:rsidRPr="00C77FF0">
        <w:rPr>
          <w:rFonts w:ascii="Times New Roman" w:hAnsi="Times New Roman" w:cs="Times New Roman"/>
          <w:sz w:val="24"/>
          <w:szCs w:val="24"/>
        </w:rPr>
        <w:t xml:space="preserve">o kvalitativne standarde </w:t>
      </w:r>
      <w:r w:rsidR="006F5166" w:rsidRPr="00C77FF0">
        <w:rPr>
          <w:rFonts w:ascii="Times New Roman" w:hAnsi="Times New Roman" w:cs="Times New Roman"/>
          <w:sz w:val="24"/>
          <w:szCs w:val="24"/>
        </w:rPr>
        <w:t>Organizacije za ekonomsku saradnju i razvoj (</w:t>
      </w:r>
      <w:r w:rsidRPr="00C77FF0">
        <w:rPr>
          <w:rFonts w:ascii="Times New Roman" w:hAnsi="Times New Roman" w:cs="Times New Roman"/>
          <w:sz w:val="24"/>
          <w:szCs w:val="24"/>
        </w:rPr>
        <w:t>OECD</w:t>
      </w:r>
      <w:r w:rsidR="006F5166" w:rsidRPr="00C77FF0">
        <w:rPr>
          <w:rFonts w:ascii="Times New Roman" w:hAnsi="Times New Roman" w:cs="Times New Roman"/>
          <w:sz w:val="24"/>
          <w:szCs w:val="24"/>
        </w:rPr>
        <w:t>)</w:t>
      </w:r>
      <w:r w:rsidR="00F554DB">
        <w:rPr>
          <w:rFonts w:ascii="Times New Roman" w:hAnsi="Times New Roman" w:cs="Times New Roman"/>
          <w:sz w:val="24"/>
          <w:szCs w:val="24"/>
        </w:rPr>
        <w:t xml:space="preserve">, zasnovane </w:t>
      </w:r>
      <w:r w:rsidR="001914C9" w:rsidRPr="00C77FF0">
        <w:rPr>
          <w:rFonts w:ascii="Times New Roman" w:hAnsi="Times New Roman" w:cs="Times New Roman"/>
          <w:sz w:val="24"/>
          <w:szCs w:val="24"/>
        </w:rPr>
        <w:t>na principima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Komiteta za razvojnu pomoć (DAC)</w:t>
      </w:r>
      <w:r w:rsidR="00F554DB">
        <w:rPr>
          <w:rFonts w:ascii="Times New Roman" w:hAnsi="Times New Roman" w:cs="Times New Roman"/>
          <w:sz w:val="24"/>
          <w:szCs w:val="24"/>
        </w:rPr>
        <w:t>.</w:t>
      </w:r>
    </w:p>
    <w:p w14:paraId="547DBC5D" w14:textId="73E92F90" w:rsidR="001914C9" w:rsidRPr="00C77FF0" w:rsidRDefault="001914C9" w:rsidP="00F554D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FF0">
        <w:rPr>
          <w:rFonts w:ascii="Times New Roman" w:hAnsi="Times New Roman" w:cs="Times New Roman"/>
          <w:sz w:val="24"/>
          <w:szCs w:val="24"/>
        </w:rPr>
        <w:t xml:space="preserve">Svrha evaluacije je procjena </w:t>
      </w:r>
      <w:r w:rsidR="00DE4086" w:rsidRPr="00C77FF0">
        <w:rPr>
          <w:rFonts w:ascii="Times New Roman" w:hAnsi="Times New Roman" w:cs="Times New Roman"/>
          <w:sz w:val="24"/>
          <w:szCs w:val="24"/>
        </w:rPr>
        <w:t>stepena provođenja</w:t>
      </w:r>
      <w:r w:rsidRPr="00C77FF0">
        <w:rPr>
          <w:rFonts w:ascii="Times New Roman" w:hAnsi="Times New Roman" w:cs="Times New Roman"/>
          <w:sz w:val="24"/>
          <w:szCs w:val="24"/>
        </w:rPr>
        <w:t xml:space="preserve"> S</w:t>
      </w:r>
      <w:r w:rsidR="00DE4086" w:rsidRPr="00C77FF0">
        <w:rPr>
          <w:rFonts w:ascii="Times New Roman" w:hAnsi="Times New Roman" w:cs="Times New Roman"/>
          <w:sz w:val="24"/>
          <w:szCs w:val="24"/>
        </w:rPr>
        <w:t xml:space="preserve">PR MP </w:t>
      </w:r>
      <w:r w:rsidR="00004C6D" w:rsidRPr="00C77FF0">
        <w:rPr>
          <w:rFonts w:ascii="Times New Roman" w:hAnsi="Times New Roman" w:cs="Times New Roman"/>
          <w:sz w:val="24"/>
          <w:szCs w:val="24"/>
        </w:rPr>
        <w:t>BiH</w:t>
      </w:r>
      <w:r w:rsidRPr="00C77FF0">
        <w:rPr>
          <w:rFonts w:ascii="Times New Roman" w:hAnsi="Times New Roman" w:cs="Times New Roman"/>
          <w:sz w:val="24"/>
          <w:szCs w:val="24"/>
        </w:rPr>
        <w:t xml:space="preserve"> za period </w:t>
      </w:r>
      <w:r w:rsidR="00F554DB">
        <w:rPr>
          <w:rFonts w:ascii="Times New Roman" w:hAnsi="Times New Roman" w:cs="Times New Roman"/>
          <w:sz w:val="24"/>
          <w:szCs w:val="24"/>
        </w:rPr>
        <w:t>od 2016. do</w:t>
      </w:r>
      <w:r w:rsidRPr="00C77FF0">
        <w:rPr>
          <w:rFonts w:ascii="Times New Roman" w:hAnsi="Times New Roman" w:cs="Times New Roman"/>
          <w:sz w:val="24"/>
          <w:szCs w:val="24"/>
        </w:rPr>
        <w:t xml:space="preserve"> 2018. godin</w:t>
      </w:r>
      <w:r w:rsidR="00DE4086" w:rsidRPr="00C77FF0">
        <w:rPr>
          <w:rFonts w:ascii="Times New Roman" w:hAnsi="Times New Roman" w:cs="Times New Roman"/>
          <w:sz w:val="24"/>
          <w:szCs w:val="24"/>
        </w:rPr>
        <w:t>e</w:t>
      </w:r>
      <w:r w:rsidRPr="00C77FF0">
        <w:rPr>
          <w:rFonts w:ascii="Times New Roman" w:hAnsi="Times New Roman" w:cs="Times New Roman"/>
          <w:sz w:val="24"/>
          <w:szCs w:val="24"/>
        </w:rPr>
        <w:t>.</w:t>
      </w:r>
      <w:r w:rsidR="00017569" w:rsidRPr="00C77FF0">
        <w:rPr>
          <w:rFonts w:ascii="Times New Roman" w:hAnsi="Times New Roman" w:cs="Times New Roman"/>
          <w:sz w:val="24"/>
          <w:szCs w:val="24"/>
        </w:rPr>
        <w:t xml:space="preserve"> </w:t>
      </w:r>
      <w:r w:rsidRPr="00C77FF0">
        <w:rPr>
          <w:rFonts w:ascii="Times New Roman" w:hAnsi="Times New Roman" w:cs="Times New Roman"/>
          <w:sz w:val="24"/>
          <w:szCs w:val="24"/>
        </w:rPr>
        <w:t xml:space="preserve">Cilj evaluacije je </w:t>
      </w:r>
      <w:r w:rsidR="002C2CE9" w:rsidRPr="00C77FF0">
        <w:rPr>
          <w:rFonts w:ascii="Times New Roman" w:hAnsi="Times New Roman" w:cs="Times New Roman"/>
          <w:sz w:val="24"/>
          <w:szCs w:val="24"/>
        </w:rPr>
        <w:t>sačiniti izv</w:t>
      </w:r>
      <w:r w:rsidR="00F554DB">
        <w:rPr>
          <w:rFonts w:ascii="Times New Roman" w:hAnsi="Times New Roman" w:cs="Times New Roman"/>
          <w:sz w:val="24"/>
          <w:szCs w:val="24"/>
        </w:rPr>
        <w:t>ještaj o procjeni postignutih</w:t>
      </w:r>
      <w:r w:rsidRPr="00C77FF0">
        <w:rPr>
          <w:rFonts w:ascii="Times New Roman" w:hAnsi="Times New Roman" w:cs="Times New Roman"/>
          <w:sz w:val="24"/>
          <w:szCs w:val="24"/>
        </w:rPr>
        <w:t xml:space="preserve"> </w:t>
      </w:r>
      <w:r w:rsidR="00DE4086" w:rsidRPr="00C77FF0">
        <w:rPr>
          <w:rFonts w:ascii="Times New Roman" w:hAnsi="Times New Roman" w:cs="Times New Roman"/>
          <w:sz w:val="24"/>
          <w:szCs w:val="24"/>
        </w:rPr>
        <w:t>rezultata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i stepena ostvarenja zadatih ciljeva u skladu sa određenim kriterijima evaluacije</w:t>
      </w:r>
      <w:r w:rsidRPr="00C77FF0">
        <w:rPr>
          <w:rFonts w:ascii="Times New Roman" w:hAnsi="Times New Roman" w:cs="Times New Roman"/>
          <w:sz w:val="24"/>
          <w:szCs w:val="24"/>
        </w:rPr>
        <w:t>.</w:t>
      </w:r>
    </w:p>
    <w:p w14:paraId="3E4C00AF" w14:textId="7D4CBA26" w:rsidR="001914C9" w:rsidRPr="00C77FF0" w:rsidRDefault="001914C9" w:rsidP="00F554D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FF0">
        <w:rPr>
          <w:rFonts w:ascii="Times New Roman" w:hAnsi="Times New Roman" w:cs="Times New Roman"/>
          <w:sz w:val="24"/>
          <w:szCs w:val="24"/>
        </w:rPr>
        <w:t xml:space="preserve">Evaluacija 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se odnosi na sve aktivnosti koje su predmetom </w:t>
      </w:r>
      <w:r w:rsidRPr="00C77FF0">
        <w:rPr>
          <w:rFonts w:ascii="Times New Roman" w:hAnsi="Times New Roman" w:cs="Times New Roman"/>
          <w:sz w:val="24"/>
          <w:szCs w:val="24"/>
        </w:rPr>
        <w:t xml:space="preserve">SPR MP </w:t>
      </w:r>
      <w:r w:rsidR="00004C6D" w:rsidRPr="00C77FF0">
        <w:rPr>
          <w:rFonts w:ascii="Times New Roman" w:hAnsi="Times New Roman" w:cs="Times New Roman"/>
          <w:sz w:val="24"/>
          <w:szCs w:val="24"/>
        </w:rPr>
        <w:t>BiH</w:t>
      </w:r>
      <w:r w:rsidRPr="00C77FF0">
        <w:rPr>
          <w:rFonts w:ascii="Times New Roman" w:hAnsi="Times New Roman" w:cs="Times New Roman"/>
          <w:sz w:val="24"/>
          <w:szCs w:val="24"/>
        </w:rPr>
        <w:t xml:space="preserve"> u p</w:t>
      </w:r>
      <w:r w:rsidR="00DE4086" w:rsidRPr="00C77FF0">
        <w:rPr>
          <w:rFonts w:ascii="Times New Roman" w:hAnsi="Times New Roman" w:cs="Times New Roman"/>
          <w:sz w:val="24"/>
          <w:szCs w:val="24"/>
        </w:rPr>
        <w:t xml:space="preserve">eriodu od 2016. do 2018. </w:t>
      </w:r>
      <w:r w:rsidR="00F554DB">
        <w:rPr>
          <w:rFonts w:ascii="Times New Roman" w:hAnsi="Times New Roman" w:cs="Times New Roman"/>
          <w:sz w:val="24"/>
          <w:szCs w:val="24"/>
        </w:rPr>
        <w:t>g</w:t>
      </w:r>
      <w:r w:rsidR="00DE4086" w:rsidRPr="00C77FF0">
        <w:rPr>
          <w:rFonts w:ascii="Times New Roman" w:hAnsi="Times New Roman" w:cs="Times New Roman"/>
          <w:sz w:val="24"/>
          <w:szCs w:val="24"/>
        </w:rPr>
        <w:t>odine</w:t>
      </w:r>
      <w:r w:rsidR="00F554DB">
        <w:rPr>
          <w:rFonts w:ascii="Times New Roman" w:hAnsi="Times New Roman" w:cs="Times New Roman"/>
          <w:sz w:val="24"/>
          <w:szCs w:val="24"/>
        </w:rPr>
        <w:t>,</w:t>
      </w:r>
      <w:r w:rsidR="00DE4086" w:rsidRPr="00C77FF0">
        <w:rPr>
          <w:rFonts w:ascii="Times New Roman" w:hAnsi="Times New Roman" w:cs="Times New Roman"/>
          <w:sz w:val="24"/>
          <w:szCs w:val="24"/>
        </w:rPr>
        <w:t xml:space="preserve"> 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uključujući izmjene </w:t>
      </w:r>
      <w:r w:rsidR="00DE4086" w:rsidRPr="00C77FF0">
        <w:rPr>
          <w:rFonts w:ascii="Times New Roman" w:hAnsi="Times New Roman" w:cs="Times New Roman"/>
          <w:sz w:val="24"/>
          <w:szCs w:val="24"/>
        </w:rPr>
        <w:t xml:space="preserve">koje su nastale tokom procesa provođenja, </w:t>
      </w:r>
      <w:r w:rsidR="00F554DB">
        <w:rPr>
          <w:rFonts w:ascii="Times New Roman" w:hAnsi="Times New Roman" w:cs="Times New Roman"/>
          <w:sz w:val="24"/>
          <w:szCs w:val="24"/>
        </w:rPr>
        <w:t>navedene</w:t>
      </w:r>
      <w:r w:rsidR="00DE4086" w:rsidRPr="00C77FF0">
        <w:rPr>
          <w:rFonts w:ascii="Times New Roman" w:hAnsi="Times New Roman" w:cs="Times New Roman"/>
          <w:sz w:val="24"/>
          <w:szCs w:val="24"/>
        </w:rPr>
        <w:t xml:space="preserve"> u ažuriranim SPR</w:t>
      </w:r>
      <w:r w:rsidR="00F554DB">
        <w:rPr>
          <w:rFonts w:ascii="Times New Roman" w:hAnsi="Times New Roman" w:cs="Times New Roman"/>
          <w:sz w:val="24"/>
          <w:szCs w:val="24"/>
        </w:rPr>
        <w:t xml:space="preserve"> MP BiH i godišnjim p</w:t>
      </w:r>
      <w:r w:rsidR="00DE4086" w:rsidRPr="00C77FF0">
        <w:rPr>
          <w:rFonts w:ascii="Times New Roman" w:hAnsi="Times New Roman" w:cs="Times New Roman"/>
          <w:sz w:val="24"/>
          <w:szCs w:val="24"/>
        </w:rPr>
        <w:t>rogramima rada MP BiH (GPR MP BiH)</w:t>
      </w:r>
      <w:r w:rsidR="002C2CE9" w:rsidRPr="00C77FF0">
        <w:rPr>
          <w:rFonts w:ascii="Times New Roman" w:hAnsi="Times New Roman" w:cs="Times New Roman"/>
          <w:sz w:val="24"/>
          <w:szCs w:val="24"/>
        </w:rPr>
        <w:t xml:space="preserve"> do 2018. godine</w:t>
      </w:r>
      <w:r w:rsidR="00DE4086" w:rsidRPr="00C77FF0">
        <w:rPr>
          <w:rFonts w:ascii="Times New Roman" w:hAnsi="Times New Roman" w:cs="Times New Roman"/>
          <w:sz w:val="24"/>
          <w:szCs w:val="24"/>
        </w:rPr>
        <w:t>.</w:t>
      </w:r>
    </w:p>
    <w:p w14:paraId="07914F68" w14:textId="2D9A0E01" w:rsidR="00D90A37" w:rsidRPr="00F554DB" w:rsidRDefault="00D90A37" w:rsidP="00F554DB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4DB">
        <w:rPr>
          <w:rFonts w:ascii="Times New Roman" w:hAnsi="Times New Roman" w:cs="Times New Roman"/>
          <w:bCs/>
          <w:sz w:val="24"/>
          <w:szCs w:val="24"/>
        </w:rPr>
        <w:t xml:space="preserve">Proces evaluacije se </w:t>
      </w:r>
      <w:r w:rsidR="002C2CE9" w:rsidRPr="00F554DB">
        <w:rPr>
          <w:rFonts w:ascii="Times New Roman" w:hAnsi="Times New Roman" w:cs="Times New Roman"/>
          <w:bCs/>
          <w:sz w:val="24"/>
          <w:szCs w:val="24"/>
        </w:rPr>
        <w:t>odvijao</w:t>
      </w:r>
      <w:r w:rsidR="007C2670">
        <w:rPr>
          <w:rFonts w:ascii="Times New Roman" w:hAnsi="Times New Roman" w:cs="Times New Roman"/>
          <w:bCs/>
          <w:sz w:val="24"/>
          <w:szCs w:val="24"/>
        </w:rPr>
        <w:t xml:space="preserve"> u tri faze.</w:t>
      </w:r>
    </w:p>
    <w:p w14:paraId="5124578E" w14:textId="6038E012" w:rsidR="00D90A37" w:rsidRPr="007C2670" w:rsidRDefault="00F554DB" w:rsidP="00F554D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670">
        <w:rPr>
          <w:rFonts w:ascii="Times New Roman" w:hAnsi="Times New Roman" w:cs="Times New Roman"/>
          <w:bCs/>
          <w:i/>
          <w:sz w:val="24"/>
          <w:szCs w:val="24"/>
        </w:rPr>
        <w:t>Prva</w:t>
      </w:r>
      <w:r w:rsidR="00D90A37" w:rsidRPr="007C2670">
        <w:rPr>
          <w:rFonts w:ascii="Times New Roman" w:hAnsi="Times New Roman" w:cs="Times New Roman"/>
          <w:bCs/>
          <w:i/>
          <w:sz w:val="24"/>
          <w:szCs w:val="24"/>
        </w:rPr>
        <w:t xml:space="preserve"> faza –</w:t>
      </w:r>
      <w:r w:rsidR="00232F9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E7302" w:rsidRPr="007C2670">
        <w:rPr>
          <w:rFonts w:ascii="Times New Roman" w:hAnsi="Times New Roman" w:cs="Times New Roman"/>
          <w:bCs/>
          <w:i/>
          <w:sz w:val="24"/>
          <w:szCs w:val="24"/>
        </w:rPr>
        <w:t xml:space="preserve">metodološka priprema i </w:t>
      </w:r>
      <w:r w:rsidR="007C2670" w:rsidRPr="007C2670">
        <w:rPr>
          <w:rFonts w:ascii="Times New Roman" w:hAnsi="Times New Roman" w:cs="Times New Roman"/>
          <w:bCs/>
          <w:i/>
          <w:sz w:val="24"/>
          <w:szCs w:val="24"/>
        </w:rPr>
        <w:t>analiza dokumentacije</w:t>
      </w:r>
      <w:r w:rsidR="007C2670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FE7302" w:rsidRPr="007C2670">
        <w:rPr>
          <w:rFonts w:ascii="Times New Roman" w:hAnsi="Times New Roman" w:cs="Times New Roman"/>
          <w:bCs/>
          <w:sz w:val="24"/>
          <w:szCs w:val="24"/>
        </w:rPr>
        <w:t>Po</w:t>
      </w:r>
      <w:r w:rsidR="00FE7302" w:rsidRPr="00C77FF0">
        <w:rPr>
          <w:rFonts w:ascii="Times New Roman" w:hAnsi="Times New Roman" w:cs="Times New Roman"/>
          <w:bCs/>
          <w:sz w:val="24"/>
          <w:szCs w:val="24"/>
        </w:rPr>
        <w:t xml:space="preserve"> zahtjevu za izradom evaluacijskog izvještaja ocijenjeno je</w:t>
      </w:r>
      <w:r w:rsidR="007338DE" w:rsidRPr="00C77FF0">
        <w:rPr>
          <w:rFonts w:ascii="Times New Roman" w:hAnsi="Times New Roman" w:cs="Times New Roman"/>
          <w:bCs/>
          <w:sz w:val="24"/>
          <w:szCs w:val="24"/>
        </w:rPr>
        <w:t xml:space="preserve"> da se </w:t>
      </w:r>
      <w:r w:rsidR="00FE7302" w:rsidRPr="00C77FF0">
        <w:rPr>
          <w:rFonts w:ascii="Times New Roman" w:hAnsi="Times New Roman" w:cs="Times New Roman"/>
          <w:bCs/>
          <w:sz w:val="24"/>
          <w:szCs w:val="24"/>
        </w:rPr>
        <w:t xml:space="preserve">zbog ograničenosti vremena i drugih resursa </w:t>
      </w:r>
      <w:r w:rsidR="007338DE" w:rsidRPr="00C77FF0">
        <w:rPr>
          <w:rFonts w:ascii="Times New Roman" w:hAnsi="Times New Roman" w:cs="Times New Roman"/>
          <w:bCs/>
          <w:sz w:val="24"/>
          <w:szCs w:val="24"/>
        </w:rPr>
        <w:t xml:space="preserve">provede </w:t>
      </w:r>
      <w:r w:rsidR="00026CA8" w:rsidRPr="00C77FF0">
        <w:rPr>
          <w:rFonts w:ascii="Times New Roman" w:hAnsi="Times New Roman" w:cs="Times New Roman"/>
          <w:bCs/>
          <w:sz w:val="24"/>
          <w:szCs w:val="24"/>
        </w:rPr>
        <w:t>interna evaluacija</w:t>
      </w:r>
      <w:r w:rsidR="00FE7302" w:rsidRPr="00C77FF0">
        <w:rPr>
          <w:rFonts w:ascii="Times New Roman" w:hAnsi="Times New Roman" w:cs="Times New Roman"/>
          <w:bCs/>
          <w:sz w:val="24"/>
          <w:szCs w:val="24"/>
        </w:rPr>
        <w:t>.</w:t>
      </w:r>
      <w:r w:rsidR="00FE7302" w:rsidRPr="007C2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670">
        <w:rPr>
          <w:rFonts w:ascii="Times New Roman" w:hAnsi="Times New Roman" w:cs="Times New Roman"/>
          <w:bCs/>
          <w:sz w:val="24"/>
          <w:szCs w:val="24"/>
        </w:rPr>
        <w:t>Po uputstvu</w:t>
      </w:r>
      <w:r w:rsidR="00026CA8" w:rsidRPr="00C77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670">
        <w:rPr>
          <w:rFonts w:ascii="Times New Roman" w:hAnsi="Times New Roman" w:cs="Times New Roman"/>
          <w:bCs/>
          <w:sz w:val="24"/>
          <w:szCs w:val="24"/>
        </w:rPr>
        <w:t>DEP-a</w:t>
      </w:r>
      <w:r w:rsidR="00026CA8" w:rsidRPr="00C77FF0">
        <w:rPr>
          <w:rFonts w:ascii="Times New Roman" w:hAnsi="Times New Roman" w:cs="Times New Roman"/>
          <w:bCs/>
          <w:sz w:val="24"/>
          <w:szCs w:val="24"/>
        </w:rPr>
        <w:t xml:space="preserve"> pripremljena je metodologija za provođenje samog postupka.</w:t>
      </w:r>
      <w:r w:rsidR="00FE7302" w:rsidRPr="00C77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2CE9" w:rsidRPr="00C77FF0">
        <w:rPr>
          <w:rFonts w:ascii="Times New Roman" w:hAnsi="Times New Roman" w:cs="Times New Roman"/>
          <w:bCs/>
          <w:sz w:val="24"/>
          <w:szCs w:val="24"/>
        </w:rPr>
        <w:t>U skladu sa zadatom metodologijom</w:t>
      </w:r>
      <w:r w:rsidR="002C2CE9" w:rsidRPr="00C77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4086" w:rsidRPr="00C77FF0">
        <w:rPr>
          <w:rFonts w:ascii="Times New Roman" w:hAnsi="Times New Roman" w:cs="Times New Roman"/>
          <w:bCs/>
          <w:sz w:val="24"/>
          <w:szCs w:val="24"/>
        </w:rPr>
        <w:t>SSPKPEI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 xml:space="preserve"> je analizirao dokumentaciju </w:t>
      </w:r>
      <w:r w:rsidR="002C2CE9" w:rsidRPr="00C77FF0">
        <w:rPr>
          <w:rFonts w:ascii="Times New Roman" w:hAnsi="Times New Roman" w:cs="Times New Roman"/>
          <w:bCs/>
          <w:sz w:val="24"/>
          <w:szCs w:val="24"/>
        </w:rPr>
        <w:t>navedenu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 xml:space="preserve"> u Prilogu 2</w:t>
      </w:r>
      <w:r w:rsidR="002C2CE9" w:rsidRPr="00C77FF0">
        <w:rPr>
          <w:rFonts w:ascii="Times New Roman" w:hAnsi="Times New Roman" w:cs="Times New Roman"/>
          <w:bCs/>
          <w:sz w:val="24"/>
          <w:szCs w:val="24"/>
        </w:rPr>
        <w:t>. ovog izvještaja.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2CE9" w:rsidRPr="00C77FF0">
        <w:rPr>
          <w:rFonts w:ascii="Times New Roman" w:hAnsi="Times New Roman" w:cs="Times New Roman"/>
          <w:bCs/>
          <w:sz w:val="24"/>
          <w:szCs w:val="24"/>
        </w:rPr>
        <w:t xml:space="preserve">Na osnovu te analize 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>je naprav</w:t>
      </w:r>
      <w:r w:rsidR="00FE7302" w:rsidRPr="00C77FF0">
        <w:rPr>
          <w:rFonts w:ascii="Times New Roman" w:hAnsi="Times New Roman" w:cs="Times New Roman"/>
          <w:bCs/>
          <w:sz w:val="24"/>
          <w:szCs w:val="24"/>
        </w:rPr>
        <w:t>ljena procjena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 xml:space="preserve"> logičke intervencije SPR</w:t>
      </w:r>
      <w:r w:rsidR="007C2670">
        <w:rPr>
          <w:rFonts w:ascii="Times New Roman" w:hAnsi="Times New Roman" w:cs="Times New Roman"/>
          <w:bCs/>
          <w:sz w:val="24"/>
          <w:szCs w:val="24"/>
        </w:rPr>
        <w:t xml:space="preserve"> MP BiH 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FE7302" w:rsidRPr="00C77FF0">
        <w:rPr>
          <w:rFonts w:ascii="Times New Roman" w:hAnsi="Times New Roman" w:cs="Times New Roman"/>
          <w:bCs/>
          <w:sz w:val="24"/>
          <w:szCs w:val="24"/>
        </w:rPr>
        <w:t xml:space="preserve">pripremljena su </w:t>
      </w:r>
      <w:r w:rsidR="002C2CE9" w:rsidRPr="00C77FF0">
        <w:rPr>
          <w:rFonts w:ascii="Times New Roman" w:hAnsi="Times New Roman" w:cs="Times New Roman"/>
          <w:bCs/>
          <w:sz w:val="24"/>
          <w:szCs w:val="24"/>
        </w:rPr>
        <w:t xml:space="preserve">pitanja </w:t>
      </w:r>
      <w:r w:rsidR="007C2670">
        <w:rPr>
          <w:rFonts w:ascii="Times New Roman" w:hAnsi="Times New Roman" w:cs="Times New Roman"/>
          <w:bCs/>
          <w:sz w:val="24"/>
          <w:szCs w:val="24"/>
        </w:rPr>
        <w:t>intervja</w:t>
      </w:r>
      <w:r w:rsidR="00FE7302" w:rsidRPr="00C77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670">
        <w:rPr>
          <w:rFonts w:ascii="Times New Roman" w:hAnsi="Times New Roman" w:cs="Times New Roman"/>
          <w:bCs/>
          <w:sz w:val="24"/>
          <w:szCs w:val="24"/>
        </w:rPr>
        <w:t>(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>upitnik</w:t>
      </w:r>
      <w:r w:rsidR="007C2670">
        <w:rPr>
          <w:rFonts w:ascii="Times New Roman" w:hAnsi="Times New Roman" w:cs="Times New Roman"/>
          <w:bCs/>
          <w:sz w:val="24"/>
          <w:szCs w:val="24"/>
        </w:rPr>
        <w:t>)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E7302" w:rsidRPr="00C77FF0">
        <w:rPr>
          <w:rFonts w:ascii="Times New Roman" w:hAnsi="Times New Roman" w:cs="Times New Roman"/>
          <w:bCs/>
          <w:sz w:val="24"/>
          <w:szCs w:val="24"/>
        </w:rPr>
        <w:t xml:space="preserve">Kako bi se proveo postupak intervjua izvršen je odabir potencijalnih jedinica i </w:t>
      </w:r>
      <w:r w:rsidR="00232F97">
        <w:rPr>
          <w:rFonts w:ascii="Times New Roman" w:hAnsi="Times New Roman" w:cs="Times New Roman"/>
          <w:bCs/>
          <w:sz w:val="24"/>
          <w:szCs w:val="24"/>
        </w:rPr>
        <w:t>lica</w:t>
      </w:r>
      <w:r w:rsidR="00FE7302" w:rsidRPr="00C77FF0">
        <w:rPr>
          <w:rFonts w:ascii="Times New Roman" w:hAnsi="Times New Roman" w:cs="Times New Roman"/>
          <w:bCs/>
          <w:sz w:val="24"/>
          <w:szCs w:val="24"/>
        </w:rPr>
        <w:t xml:space="preserve"> u MP BiH i preporučenim ključnim institucijama</w:t>
      </w:r>
      <w:r w:rsidR="002C2CE9" w:rsidRPr="00C77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302" w:rsidRPr="00C77FF0">
        <w:rPr>
          <w:rFonts w:ascii="Times New Roman" w:hAnsi="Times New Roman" w:cs="Times New Roman"/>
          <w:bCs/>
          <w:sz w:val="24"/>
          <w:szCs w:val="24"/>
        </w:rPr>
        <w:t>(vidjeti Prilog 1).</w:t>
      </w:r>
    </w:p>
    <w:p w14:paraId="1B5C68EF" w14:textId="36FD610B" w:rsidR="00D90A37" w:rsidRPr="00C77FF0" w:rsidRDefault="00F554DB" w:rsidP="00F554DB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2670">
        <w:rPr>
          <w:rFonts w:ascii="Times New Roman" w:hAnsi="Times New Roman" w:cs="Times New Roman"/>
          <w:bCs/>
          <w:i/>
          <w:sz w:val="24"/>
          <w:szCs w:val="24"/>
        </w:rPr>
        <w:t>Druga</w:t>
      </w:r>
      <w:r w:rsidR="00D90A37" w:rsidRPr="007C2670">
        <w:rPr>
          <w:rFonts w:ascii="Times New Roman" w:hAnsi="Times New Roman" w:cs="Times New Roman"/>
          <w:bCs/>
          <w:i/>
          <w:sz w:val="24"/>
          <w:szCs w:val="24"/>
        </w:rPr>
        <w:t xml:space="preserve"> faza – prikupljanje podataka/provođenje procesa intervjua</w:t>
      </w:r>
      <w:r w:rsidR="007C2670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7338DE" w:rsidRPr="00C77FF0">
        <w:rPr>
          <w:rFonts w:ascii="Times New Roman" w:hAnsi="Times New Roman" w:cs="Times New Roman"/>
          <w:bCs/>
          <w:sz w:val="24"/>
          <w:szCs w:val="24"/>
        </w:rPr>
        <w:t>U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 xml:space="preserve"> periodu od 11.</w:t>
      </w:r>
      <w:r w:rsidR="00232F97">
        <w:rPr>
          <w:rFonts w:ascii="Times New Roman" w:hAnsi="Times New Roman" w:cs="Times New Roman"/>
          <w:bCs/>
          <w:sz w:val="24"/>
          <w:szCs w:val="24"/>
        </w:rPr>
        <w:t xml:space="preserve"> 4. do 17. 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>4.</w:t>
      </w:r>
      <w:r w:rsidR="00232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 xml:space="preserve">2019. godine </w:t>
      </w:r>
      <w:r w:rsidR="007C2670">
        <w:rPr>
          <w:rFonts w:ascii="Times New Roman" w:hAnsi="Times New Roman" w:cs="Times New Roman"/>
          <w:bCs/>
          <w:sz w:val="24"/>
          <w:szCs w:val="24"/>
        </w:rPr>
        <w:t>obavljeni su intervjui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>. Unutar MP BiH</w:t>
      </w:r>
      <w:r w:rsidR="00BB5EDE" w:rsidRPr="00C77FF0">
        <w:rPr>
          <w:rFonts w:ascii="Times New Roman" w:hAnsi="Times New Roman" w:cs="Times New Roman"/>
          <w:bCs/>
          <w:sz w:val="24"/>
          <w:szCs w:val="24"/>
        </w:rPr>
        <w:t xml:space="preserve"> obavljeno je </w:t>
      </w:r>
      <w:r w:rsidR="007C2670">
        <w:rPr>
          <w:rFonts w:ascii="Times New Roman" w:hAnsi="Times New Roman" w:cs="Times New Roman"/>
          <w:bCs/>
          <w:sz w:val="24"/>
          <w:szCs w:val="24"/>
        </w:rPr>
        <w:t>šest</w:t>
      </w:r>
      <w:r w:rsidR="00BB5EDE" w:rsidRPr="00C77FF0">
        <w:rPr>
          <w:rFonts w:ascii="Times New Roman" w:hAnsi="Times New Roman" w:cs="Times New Roman"/>
          <w:bCs/>
          <w:sz w:val="24"/>
          <w:szCs w:val="24"/>
        </w:rPr>
        <w:t xml:space="preserve"> odvojenih intervjua, a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670">
        <w:rPr>
          <w:rFonts w:ascii="Times New Roman" w:hAnsi="Times New Roman" w:cs="Times New Roman"/>
          <w:bCs/>
          <w:sz w:val="24"/>
          <w:szCs w:val="24"/>
        </w:rPr>
        <w:t>intervjuisano</w:t>
      </w:r>
      <w:r w:rsidR="00026CA8" w:rsidRPr="00C77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232F97">
        <w:rPr>
          <w:rFonts w:ascii="Times New Roman" w:hAnsi="Times New Roman" w:cs="Times New Roman"/>
          <w:bCs/>
          <w:sz w:val="24"/>
          <w:szCs w:val="24"/>
        </w:rPr>
        <w:t>osam lica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>, od čega</w:t>
      </w:r>
      <w:r w:rsidR="00BB5EDE" w:rsidRPr="00C77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670">
        <w:rPr>
          <w:rFonts w:ascii="Times New Roman" w:hAnsi="Times New Roman" w:cs="Times New Roman"/>
          <w:bCs/>
          <w:sz w:val="24"/>
          <w:szCs w:val="24"/>
        </w:rPr>
        <w:t>četiri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 xml:space="preserve"> žene i </w:t>
      </w:r>
      <w:r w:rsidR="007C2670">
        <w:rPr>
          <w:rFonts w:ascii="Times New Roman" w:hAnsi="Times New Roman" w:cs="Times New Roman"/>
          <w:bCs/>
          <w:sz w:val="24"/>
          <w:szCs w:val="24"/>
        </w:rPr>
        <w:t>četiri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 xml:space="preserve"> muškaraca. Pored intervjua provedenih unutar </w:t>
      </w:r>
      <w:r w:rsidR="007C2670">
        <w:rPr>
          <w:rFonts w:ascii="Times New Roman" w:hAnsi="Times New Roman" w:cs="Times New Roman"/>
          <w:bCs/>
          <w:sz w:val="24"/>
          <w:szCs w:val="24"/>
        </w:rPr>
        <w:t>MP BiH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26CA8" w:rsidRPr="00C77FF0">
        <w:rPr>
          <w:rFonts w:ascii="Times New Roman" w:hAnsi="Times New Roman" w:cs="Times New Roman"/>
          <w:bCs/>
          <w:sz w:val="24"/>
          <w:szCs w:val="24"/>
        </w:rPr>
        <w:t>obavljeni su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6CA8" w:rsidRPr="00C77FF0">
        <w:rPr>
          <w:rFonts w:ascii="Times New Roman" w:hAnsi="Times New Roman" w:cs="Times New Roman"/>
          <w:bCs/>
          <w:sz w:val="24"/>
          <w:szCs w:val="24"/>
        </w:rPr>
        <w:t>intervjui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 xml:space="preserve"> sa predstavnicima DEP-a i M</w:t>
      </w:r>
      <w:r w:rsidR="00026CA8" w:rsidRPr="00C77FF0">
        <w:rPr>
          <w:rFonts w:ascii="Times New Roman" w:hAnsi="Times New Roman" w:cs="Times New Roman"/>
          <w:bCs/>
          <w:sz w:val="24"/>
          <w:szCs w:val="24"/>
        </w:rPr>
        <w:t>inistarstva finansija i trezora (M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>FT</w:t>
      </w:r>
      <w:r w:rsidR="00026CA8" w:rsidRPr="00C77FF0">
        <w:rPr>
          <w:rFonts w:ascii="Times New Roman" w:hAnsi="Times New Roman" w:cs="Times New Roman"/>
          <w:bCs/>
          <w:sz w:val="24"/>
          <w:szCs w:val="24"/>
        </w:rPr>
        <w:t>)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26CA8" w:rsidRPr="00C77FF0">
        <w:rPr>
          <w:rFonts w:ascii="Times New Roman" w:hAnsi="Times New Roman" w:cs="Times New Roman"/>
          <w:bCs/>
          <w:sz w:val="24"/>
          <w:szCs w:val="24"/>
        </w:rPr>
        <w:t xml:space="preserve">Intervju je obavljen </w:t>
      </w:r>
      <w:r w:rsidR="007C2670">
        <w:rPr>
          <w:rFonts w:ascii="Times New Roman" w:hAnsi="Times New Roman" w:cs="Times New Roman"/>
          <w:bCs/>
          <w:sz w:val="24"/>
          <w:szCs w:val="24"/>
        </w:rPr>
        <w:t>sa</w:t>
      </w:r>
      <w:r w:rsidR="00026CA8" w:rsidRPr="00C77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670">
        <w:rPr>
          <w:rFonts w:ascii="Times New Roman" w:hAnsi="Times New Roman" w:cs="Times New Roman"/>
          <w:bCs/>
          <w:sz w:val="24"/>
          <w:szCs w:val="24"/>
        </w:rPr>
        <w:t>četiri</w:t>
      </w:r>
      <w:r w:rsidR="00026CA8" w:rsidRPr="00C77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>predstavnice navedenih institucija.</w:t>
      </w:r>
    </w:p>
    <w:p w14:paraId="2E6D2394" w14:textId="152DDF4E" w:rsidR="00D90A37" w:rsidRPr="00C77FF0" w:rsidRDefault="00D90A37" w:rsidP="00F554DB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FF0">
        <w:rPr>
          <w:rFonts w:ascii="Times New Roman" w:hAnsi="Times New Roman" w:cs="Times New Roman"/>
          <w:bCs/>
          <w:sz w:val="24"/>
          <w:szCs w:val="24"/>
        </w:rPr>
        <w:t xml:space="preserve">Prilikom intervjua/sastanka </w:t>
      </w:r>
      <w:r w:rsidR="00026CA8" w:rsidRPr="00C77FF0">
        <w:rPr>
          <w:rFonts w:ascii="Times New Roman" w:hAnsi="Times New Roman" w:cs="Times New Roman"/>
          <w:bCs/>
          <w:sz w:val="24"/>
          <w:szCs w:val="24"/>
        </w:rPr>
        <w:t>uzeto je u obzir</w:t>
      </w:r>
      <w:r w:rsidRPr="00C77FF0">
        <w:rPr>
          <w:rFonts w:ascii="Times New Roman" w:hAnsi="Times New Roman" w:cs="Times New Roman"/>
          <w:bCs/>
          <w:sz w:val="24"/>
          <w:szCs w:val="24"/>
        </w:rPr>
        <w:t xml:space="preserve"> da</w:t>
      </w:r>
      <w:r w:rsidR="006E1DF1" w:rsidRPr="00C77FF0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Pr="00C77FF0">
        <w:rPr>
          <w:rFonts w:ascii="Times New Roman" w:hAnsi="Times New Roman" w:cs="Times New Roman"/>
          <w:bCs/>
          <w:sz w:val="24"/>
          <w:szCs w:val="24"/>
        </w:rPr>
        <w:t>: prikuplja</w:t>
      </w:r>
      <w:r w:rsidR="006E1DF1" w:rsidRPr="00C77FF0">
        <w:rPr>
          <w:rFonts w:ascii="Times New Roman" w:hAnsi="Times New Roman" w:cs="Times New Roman"/>
          <w:bCs/>
          <w:sz w:val="24"/>
          <w:szCs w:val="24"/>
        </w:rPr>
        <w:t>ju podaci</w:t>
      </w:r>
      <w:r w:rsidR="00026CA8" w:rsidRPr="00C77FF0">
        <w:rPr>
          <w:rFonts w:ascii="Times New Roman" w:hAnsi="Times New Roman" w:cs="Times New Roman"/>
          <w:bCs/>
          <w:sz w:val="24"/>
          <w:szCs w:val="24"/>
        </w:rPr>
        <w:t xml:space="preserve"> iz različitih izvora, vrši eventualna </w:t>
      </w:r>
      <w:r w:rsidR="00A056E0" w:rsidRPr="00C77FF0">
        <w:rPr>
          <w:rFonts w:ascii="Times New Roman" w:hAnsi="Times New Roman" w:cs="Times New Roman"/>
          <w:bCs/>
          <w:sz w:val="24"/>
          <w:szCs w:val="24"/>
        </w:rPr>
        <w:t xml:space="preserve">trostruko provjeravanje </w:t>
      </w:r>
      <w:r w:rsidR="007C2670">
        <w:rPr>
          <w:rFonts w:ascii="Times New Roman" w:hAnsi="Times New Roman" w:cs="Times New Roman"/>
          <w:bCs/>
          <w:sz w:val="24"/>
          <w:szCs w:val="24"/>
        </w:rPr>
        <w:t>informacija,</w:t>
      </w:r>
      <w:r w:rsidRPr="00C77FF0">
        <w:rPr>
          <w:rFonts w:ascii="Times New Roman" w:hAnsi="Times New Roman" w:cs="Times New Roman"/>
          <w:bCs/>
          <w:sz w:val="24"/>
          <w:szCs w:val="24"/>
        </w:rPr>
        <w:t xml:space="preserve"> što detaljnije </w:t>
      </w:r>
      <w:r w:rsidR="007C2670">
        <w:rPr>
          <w:rFonts w:ascii="Times New Roman" w:hAnsi="Times New Roman" w:cs="Times New Roman"/>
          <w:bCs/>
          <w:sz w:val="24"/>
          <w:szCs w:val="24"/>
        </w:rPr>
        <w:t xml:space="preserve">istraže </w:t>
      </w:r>
      <w:r w:rsidRPr="00C77FF0">
        <w:rPr>
          <w:rFonts w:ascii="Times New Roman" w:hAnsi="Times New Roman" w:cs="Times New Roman"/>
          <w:bCs/>
          <w:sz w:val="24"/>
          <w:szCs w:val="24"/>
        </w:rPr>
        <w:t xml:space="preserve">uzročno-posljedične veze u obradi pitanja vezanih za </w:t>
      </w:r>
      <w:r w:rsidR="007C2670">
        <w:rPr>
          <w:rFonts w:ascii="Times New Roman" w:hAnsi="Times New Roman" w:cs="Times New Roman"/>
          <w:bCs/>
          <w:sz w:val="24"/>
          <w:szCs w:val="24"/>
        </w:rPr>
        <w:t>učinkovitost, adekvatno reaguje</w:t>
      </w:r>
      <w:r w:rsidRPr="00C77FF0">
        <w:rPr>
          <w:rFonts w:ascii="Times New Roman" w:hAnsi="Times New Roman" w:cs="Times New Roman"/>
          <w:bCs/>
          <w:sz w:val="24"/>
          <w:szCs w:val="24"/>
        </w:rPr>
        <w:t xml:space="preserve"> na komentare i sugestije od strane zaposlenih, nastojeći da iste, uz zadržavanje profesionalne odgovornosti i nepristra</w:t>
      </w:r>
      <w:r w:rsidR="007C2670">
        <w:rPr>
          <w:rFonts w:ascii="Times New Roman" w:hAnsi="Times New Roman" w:cs="Times New Roman"/>
          <w:bCs/>
          <w:sz w:val="24"/>
          <w:szCs w:val="24"/>
        </w:rPr>
        <w:t>s</w:t>
      </w:r>
      <w:r w:rsidRPr="00C77FF0">
        <w:rPr>
          <w:rFonts w:ascii="Times New Roman" w:hAnsi="Times New Roman" w:cs="Times New Roman"/>
          <w:bCs/>
          <w:sz w:val="24"/>
          <w:szCs w:val="24"/>
        </w:rPr>
        <w:t xml:space="preserve">nosti, maksimalno uvaži, ne dovodeći pri tom u pitanje kvalitetu rada i rezultata </w:t>
      </w:r>
      <w:r w:rsidR="00A056E0" w:rsidRPr="00C77FF0">
        <w:rPr>
          <w:rFonts w:ascii="Times New Roman" w:hAnsi="Times New Roman" w:cs="Times New Roman"/>
          <w:bCs/>
          <w:sz w:val="24"/>
          <w:szCs w:val="24"/>
        </w:rPr>
        <w:t xml:space="preserve">same </w:t>
      </w:r>
      <w:r w:rsidRPr="00C77FF0">
        <w:rPr>
          <w:rFonts w:ascii="Times New Roman" w:hAnsi="Times New Roman" w:cs="Times New Roman"/>
          <w:bCs/>
          <w:sz w:val="24"/>
          <w:szCs w:val="24"/>
        </w:rPr>
        <w:t>evaluacije.</w:t>
      </w:r>
    </w:p>
    <w:p w14:paraId="5765EF7F" w14:textId="03196D91" w:rsidR="006D6FCD" w:rsidRPr="007C2670" w:rsidRDefault="007C2670" w:rsidP="00F554D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670">
        <w:rPr>
          <w:rFonts w:ascii="Times New Roman" w:hAnsi="Times New Roman" w:cs="Times New Roman"/>
          <w:bCs/>
          <w:i/>
          <w:sz w:val="24"/>
          <w:szCs w:val="24"/>
        </w:rPr>
        <w:t>Treća faza – pisanje izvještaja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1DF1" w:rsidRPr="007C2670">
        <w:rPr>
          <w:rFonts w:ascii="Times New Roman" w:hAnsi="Times New Roman" w:cs="Times New Roman"/>
          <w:bCs/>
          <w:sz w:val="24"/>
          <w:szCs w:val="24"/>
        </w:rPr>
        <w:t>U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 xml:space="preserve"> predmetnom izvještaju </w:t>
      </w:r>
      <w:r w:rsidR="00A056E0" w:rsidRPr="00C77FF0">
        <w:rPr>
          <w:rFonts w:ascii="Times New Roman" w:hAnsi="Times New Roman" w:cs="Times New Roman"/>
          <w:bCs/>
          <w:sz w:val="24"/>
          <w:szCs w:val="24"/>
        </w:rPr>
        <w:t xml:space="preserve">dat je prikaz </w:t>
      </w:r>
      <w:r w:rsidRPr="00C77FF0">
        <w:rPr>
          <w:rFonts w:ascii="Times New Roman" w:hAnsi="Times New Roman" w:cs="Times New Roman"/>
          <w:bCs/>
          <w:sz w:val="24"/>
          <w:szCs w:val="24"/>
        </w:rPr>
        <w:t xml:space="preserve">uzročno-posljedične </w:t>
      </w:r>
      <w:r w:rsidR="006E1DF1" w:rsidRPr="00C77FF0">
        <w:rPr>
          <w:rFonts w:ascii="Times New Roman" w:hAnsi="Times New Roman" w:cs="Times New Roman"/>
          <w:bCs/>
          <w:sz w:val="24"/>
          <w:szCs w:val="24"/>
        </w:rPr>
        <w:t>ve</w:t>
      </w:r>
      <w:r w:rsidR="00A056E0" w:rsidRPr="00C77FF0">
        <w:rPr>
          <w:rFonts w:ascii="Times New Roman" w:hAnsi="Times New Roman" w:cs="Times New Roman"/>
          <w:bCs/>
          <w:sz w:val="24"/>
          <w:szCs w:val="24"/>
        </w:rPr>
        <w:t>ze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 xml:space="preserve"> između nalaza, zaključaka i preporuka.</w:t>
      </w:r>
      <w:r w:rsidR="006E1DF1" w:rsidRPr="00C77FF0">
        <w:rPr>
          <w:rFonts w:ascii="Times New Roman" w:hAnsi="Times New Roman" w:cs="Times New Roman"/>
          <w:bCs/>
          <w:sz w:val="24"/>
          <w:szCs w:val="24"/>
        </w:rPr>
        <w:t xml:space="preserve"> Principi rada </w:t>
      </w:r>
      <w:r w:rsidR="00F554DB">
        <w:rPr>
          <w:rFonts w:ascii="Times New Roman" w:hAnsi="Times New Roman" w:cs="Times New Roman"/>
          <w:bCs/>
          <w:sz w:val="24"/>
          <w:szCs w:val="24"/>
        </w:rPr>
        <w:t>su se odnosili na poštivanje neza</w:t>
      </w:r>
      <w:r w:rsidR="006E1DF1" w:rsidRPr="00C77FF0">
        <w:rPr>
          <w:rFonts w:ascii="Times New Roman" w:hAnsi="Times New Roman" w:cs="Times New Roman"/>
          <w:bCs/>
          <w:sz w:val="24"/>
          <w:szCs w:val="24"/>
        </w:rPr>
        <w:t xml:space="preserve">visnosti i </w:t>
      </w:r>
      <w:r w:rsidR="00A056E0" w:rsidRPr="00C77FF0">
        <w:rPr>
          <w:rFonts w:ascii="Times New Roman" w:hAnsi="Times New Roman" w:cs="Times New Roman"/>
          <w:bCs/>
          <w:sz w:val="24"/>
          <w:szCs w:val="24"/>
        </w:rPr>
        <w:t>samostalnosti</w:t>
      </w:r>
      <w:r w:rsidR="00F554DB">
        <w:rPr>
          <w:rFonts w:ascii="Times New Roman" w:hAnsi="Times New Roman" w:cs="Times New Roman"/>
          <w:bCs/>
          <w:sz w:val="24"/>
          <w:szCs w:val="24"/>
        </w:rPr>
        <w:t xml:space="preserve"> u radu,</w:t>
      </w:r>
      <w:r w:rsidR="006E1DF1" w:rsidRPr="00C77FF0">
        <w:rPr>
          <w:rFonts w:ascii="Times New Roman" w:hAnsi="Times New Roman" w:cs="Times New Roman"/>
          <w:bCs/>
          <w:sz w:val="24"/>
          <w:szCs w:val="24"/>
        </w:rPr>
        <w:t xml:space="preserve"> uz saradnju </w:t>
      </w:r>
      <w:r w:rsidR="00F554DB">
        <w:rPr>
          <w:rFonts w:ascii="Times New Roman" w:hAnsi="Times New Roman" w:cs="Times New Roman"/>
          <w:bCs/>
          <w:sz w:val="24"/>
          <w:szCs w:val="24"/>
        </w:rPr>
        <w:t>organizacionih jedinica MP BiH</w:t>
      </w:r>
      <w:r w:rsidR="00D90A37" w:rsidRPr="00C77FF0">
        <w:rPr>
          <w:rFonts w:ascii="Times New Roman" w:hAnsi="Times New Roman" w:cs="Times New Roman"/>
          <w:bCs/>
          <w:sz w:val="24"/>
          <w:szCs w:val="24"/>
        </w:rPr>
        <w:t xml:space="preserve"> tokom </w:t>
      </w:r>
      <w:r w:rsidR="006E1DF1" w:rsidRPr="00C77FF0">
        <w:rPr>
          <w:rFonts w:ascii="Times New Roman" w:hAnsi="Times New Roman" w:cs="Times New Roman"/>
          <w:bCs/>
          <w:sz w:val="24"/>
          <w:szCs w:val="24"/>
        </w:rPr>
        <w:t>provođenja procesa</w:t>
      </w:r>
      <w:r w:rsidR="00F554DB">
        <w:rPr>
          <w:rFonts w:ascii="Times New Roman" w:hAnsi="Times New Roman" w:cs="Times New Roman"/>
          <w:bCs/>
          <w:sz w:val="24"/>
          <w:szCs w:val="24"/>
        </w:rPr>
        <w:t xml:space="preserve"> evaluacije.</w:t>
      </w:r>
    </w:p>
    <w:p w14:paraId="331BB3BE" w14:textId="77777777" w:rsidR="00747672" w:rsidRDefault="00A056E0" w:rsidP="00747672">
      <w:pPr>
        <w:spacing w:after="0" w:line="240" w:lineRule="auto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Prema </w:t>
      </w:r>
      <w:r w:rsid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podacima prikupljenim kroz intervjue</w:t>
      </w:r>
      <w:r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vidljivo je kako je veći dio </w:t>
      </w:r>
      <w:r w:rsid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intervjuisanih</w:t>
      </w:r>
      <w:r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upoznat sa dijelovima </w:t>
      </w:r>
      <w:r w:rsid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SPR MP BiH</w:t>
      </w:r>
      <w:r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</w:t>
      </w:r>
      <w:r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pratećim Akcionim planom, ali i strateškim okvirom koji je osnova za pripremu dokumenta. U najvećoj mjeri predstavnici </w:t>
      </w:r>
      <w:r w:rsid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intervjuisanih</w:t>
      </w:r>
      <w:r w:rsidR="00747672"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institucija su odgovorili </w:t>
      </w:r>
      <w:r w:rsidR="00F60E1E"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kako su upoznati s</w:t>
      </w:r>
      <w:r w:rsid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a</w:t>
      </w:r>
      <w:r w:rsidR="00F60E1E"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procesom planiranja i da je uvođenje strukture u planiranje dovelo do organizacionog reda tako što su na jednom mjestu sistematski poredani planski zadaci instituci</w:t>
      </w:r>
      <w:r w:rsid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je i omogućeno lakše praćenje i pripremanje</w:t>
      </w:r>
      <w:r w:rsidR="00F60E1E"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izvještaja. </w:t>
      </w:r>
      <w:r w:rsid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Predstavnici organizacionih jedinica MP BiH su naveli</w:t>
      </w:r>
      <w:r w:rsidR="00F60E1E"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da dobr</w:t>
      </w:r>
      <w:r w:rsidR="00F60E1E"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o</w:t>
      </w:r>
      <w:r w:rsid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poznaju pojedine dijelove SPR MP BiH</w:t>
      </w:r>
      <w:r w:rsidR="00F60E1E"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koj</w:t>
      </w:r>
      <w:r w:rsid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</w:t>
      </w:r>
      <w:r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se odnose na njihovu </w:t>
      </w:r>
      <w:r w:rsid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organizacionu jedinicu</w:t>
      </w:r>
      <w:r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, dok ostale dijelove slabije poznaju. Istovremeno, institucije koje su više uključene u problematiku borbe protiv korupcije (kao npr. institucije koje su direktno nadležne za borbu protiv korupcije ili pojedine nevladine organizacije koje se bave ovim pitanjima), te institucije koje su neposredno učestvovale u</w:t>
      </w:r>
      <w:r w:rsid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raspravama prilikom donošenja strateškog okvira</w:t>
      </w:r>
      <w:r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ili u praćenj</w:t>
      </w:r>
      <w:r w:rsid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u njegovog</w:t>
      </w:r>
      <w:r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provođenja</w:t>
      </w:r>
      <w:r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</w:t>
      </w:r>
      <w:r w:rsid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su iskazali dobro poznavanje SPR MP BiH.</w:t>
      </w:r>
    </w:p>
    <w:p w14:paraId="3849B2BD" w14:textId="77777777" w:rsidR="00747672" w:rsidRDefault="00747672">
      <w:pP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br w:type="page"/>
      </w:r>
    </w:p>
    <w:p w14:paraId="518F3BBF" w14:textId="0399E5E7" w:rsidR="006E1DF1" w:rsidRPr="00C77FF0" w:rsidRDefault="006E1DF1" w:rsidP="00F554DB">
      <w:pPr>
        <w:spacing w:after="120" w:line="240" w:lineRule="auto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lastRenderedPageBreak/>
        <w:t xml:space="preserve">U </w:t>
      </w:r>
      <w:r w:rsidR="00F60E1E"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nastavku </w:t>
      </w:r>
      <w:r w:rsid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predstavljamo</w:t>
      </w:r>
      <w:r w:rsidR="00F60E1E"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najinteresantnija </w:t>
      </w:r>
      <w:r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zapažanja učesnika </w:t>
      </w:r>
      <w:r w:rsidR="00F60E1E" w:rsidRPr="00C77FF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intervjua</w:t>
      </w:r>
      <w:r w:rsidR="007C2670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:</w:t>
      </w:r>
    </w:p>
    <w:p w14:paraId="30EB3A54" w14:textId="29B72B46" w:rsidR="008052A3" w:rsidRPr="00747672" w:rsidRDefault="006E1DF1" w:rsidP="00747672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</w:t>
      </w:r>
      <w:r w:rsidR="008052A3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Korist od </w:t>
      </w:r>
      <w:r w:rsidR="00F60E1E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ovakvog </w:t>
      </w:r>
      <w:r w:rsidR="008052A3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procesa pl</w:t>
      </w:r>
      <w:r w:rsidR="00F60E1E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aniranja je povećana efikasno</w:t>
      </w:r>
      <w:r w:rsidR="008052A3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st i kontinuitet u </w:t>
      </w:r>
      <w:r w:rsidR="00747672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provođenju</w:t>
      </w:r>
      <w:r w:rsidR="008052A3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aktivnosti</w:t>
      </w:r>
      <w:r w:rsidR="00747672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...</w:t>
      </w: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“</w:t>
      </w:r>
    </w:p>
    <w:p w14:paraId="72072BF3" w14:textId="77777777" w:rsidR="008052A3" w:rsidRPr="00747672" w:rsidRDefault="006E1DF1" w:rsidP="00747672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„..</w:t>
      </w:r>
      <w:r w:rsidR="008052A3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.</w:t>
      </w: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nema zastoja u radu izmeđ</w:t>
      </w:r>
      <w:r w:rsidR="008052A3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u sektora i dobra je međusobna saradnja..</w:t>
      </w: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.“</w:t>
      </w:r>
    </w:p>
    <w:p w14:paraId="7D780893" w14:textId="77777777" w:rsidR="008052A3" w:rsidRPr="00747672" w:rsidRDefault="006E1DF1" w:rsidP="00747672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„..</w:t>
      </w:r>
      <w:r w:rsidR="008052A3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dobro zadani ciljevi</w:t>
      </w:r>
      <w:r w:rsidR="00F60E1E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,</w:t>
      </w:r>
      <w:r w:rsidR="008052A3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ali i postignuti rezultati..</w:t>
      </w: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.“</w:t>
      </w:r>
    </w:p>
    <w:p w14:paraId="3B0E71A6" w14:textId="77777777" w:rsidR="008052A3" w:rsidRPr="00747672" w:rsidRDefault="006E1DF1" w:rsidP="00747672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„R</w:t>
      </w:r>
      <w:r w:rsidR="008052A3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okovi u postupku </w:t>
      </w:r>
      <w:r w:rsidR="00F60E1E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srednjoročnoga</w:t>
      </w:r>
      <w:r w:rsidR="008052A3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planiranja bi t</w:t>
      </w: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rebali biti bolje postavljeni.“</w:t>
      </w:r>
    </w:p>
    <w:p w14:paraId="48CE54EE" w14:textId="77777777" w:rsidR="008052A3" w:rsidRPr="00747672" w:rsidRDefault="006E1DF1" w:rsidP="00747672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„...</w:t>
      </w:r>
      <w:r w:rsidR="008052A3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teško je izračunati određeni doprinos institucije...</w:t>
      </w: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“</w:t>
      </w:r>
    </w:p>
    <w:p w14:paraId="124EA081" w14:textId="77777777" w:rsidR="008052A3" w:rsidRPr="00747672" w:rsidRDefault="006E1DF1" w:rsidP="00747672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„C</w:t>
      </w:r>
      <w:r w:rsidR="008052A3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iljevi su generalno</w:t>
      </w:r>
      <w:r w:rsidR="00017569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postavljeni kao dugogodišnji.“</w:t>
      </w:r>
    </w:p>
    <w:p w14:paraId="0339E390" w14:textId="77777777" w:rsidR="008052A3" w:rsidRPr="00747672" w:rsidRDefault="00017569" w:rsidP="00747672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„...</w:t>
      </w:r>
      <w:r w:rsidR="008052A3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ciljevi dobro zadani, ali teško mjerljivi...</w:t>
      </w: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“</w:t>
      </w:r>
    </w:p>
    <w:p w14:paraId="2F1847E3" w14:textId="33DD5581" w:rsidR="00A10BA7" w:rsidRPr="00747672" w:rsidRDefault="00017569" w:rsidP="00747672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</w:t>
      </w:r>
      <w:r w:rsidR="00BB5EDE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Postoje određeni p</w:t>
      </w:r>
      <w:r w:rsidR="00A10BA7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roblemi u saradnji sa institucijama na </w:t>
      </w:r>
      <w:r w:rsid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provođenju</w:t>
      </w:r>
      <w:r w:rsidR="00A10BA7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aktivnosti</w:t>
      </w: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.“</w:t>
      </w:r>
    </w:p>
    <w:p w14:paraId="0E296D60" w14:textId="77777777" w:rsidR="00A10BA7" w:rsidRPr="00747672" w:rsidRDefault="00017569" w:rsidP="00747672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„Neophodna je </w:t>
      </w:r>
      <w:r w:rsidR="00A10BA7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obuka za proces planiranja</w:t>
      </w:r>
      <w:r w:rsidR="00BB5EDE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...</w:t>
      </w: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“</w:t>
      </w:r>
    </w:p>
    <w:p w14:paraId="5ED3DBA6" w14:textId="1717FF8E" w:rsidR="00A10BA7" w:rsidRPr="00747672" w:rsidRDefault="7C1D1F8F" w:rsidP="00747672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„...javlja se problem nedosljednosti provođenja aktivnosti...“</w:t>
      </w:r>
    </w:p>
    <w:p w14:paraId="4A339F38" w14:textId="451BE1C2" w:rsidR="00A10BA7" w:rsidRPr="00747672" w:rsidRDefault="00017569" w:rsidP="00747672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</w:t>
      </w:r>
      <w:r w:rsidR="00A10BA7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Problem je razumijevanj</w:t>
      </w:r>
      <w:r w:rsid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e</w:t>
      </w:r>
      <w:r w:rsidR="00A10BA7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izvještaja</w:t>
      </w:r>
      <w:r w:rsidR="00BB5EDE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...</w:t>
      </w: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“</w:t>
      </w:r>
    </w:p>
    <w:p w14:paraId="194CDC38" w14:textId="77777777" w:rsidR="00A10BA7" w:rsidRPr="00747672" w:rsidRDefault="00017569" w:rsidP="00747672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</w:t>
      </w:r>
      <w:r w:rsidR="00A10BA7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Projekti se ne rješavaju u roku</w:t>
      </w:r>
      <w:r w:rsidR="00BB5EDE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...</w:t>
      </w: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“</w:t>
      </w:r>
    </w:p>
    <w:p w14:paraId="0D2A9797" w14:textId="0DA6C46E" w:rsidR="00A10BA7" w:rsidRPr="00747672" w:rsidRDefault="00017569" w:rsidP="00747672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</w:t>
      </w:r>
      <w:r w:rsidR="00A10BA7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Op</w:t>
      </w:r>
      <w:r w:rsid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ć</w:t>
      </w:r>
      <w:r w:rsidR="00A10BA7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i cilj je opravdan jer je </w:t>
      </w:r>
      <w:r w:rsid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opći</w:t>
      </w:r>
      <w:r w:rsidR="00A10BA7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 xml:space="preserve"> i pre</w:t>
      </w:r>
      <w:r w:rsidR="00F60E1E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poznatlj</w:t>
      </w:r>
      <w:r w:rsidR="00A10BA7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iv</w:t>
      </w: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.“</w:t>
      </w:r>
    </w:p>
    <w:p w14:paraId="68287662" w14:textId="77777777" w:rsidR="00A10BA7" w:rsidRPr="00747672" w:rsidRDefault="00017569" w:rsidP="00747672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</w:t>
      </w:r>
      <w:r w:rsidR="00A10BA7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Potrebno je pronaći pravu mjeru u planiranju</w:t>
      </w: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.“</w:t>
      </w:r>
    </w:p>
    <w:p w14:paraId="0DD6DC09" w14:textId="213032F1" w:rsidR="00F554DB" w:rsidRPr="00747672" w:rsidRDefault="00017569" w:rsidP="00747672">
      <w:pPr>
        <w:pStyle w:val="ListParagraph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„</w:t>
      </w:r>
      <w:r w:rsidR="00A10BA7"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Plan rada ministarstva treba biti tema kolegija</w:t>
      </w:r>
      <w:r w:rsidRPr="00747672"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  <w:t>.“</w:t>
      </w:r>
    </w:p>
    <w:p w14:paraId="511F0C1C" w14:textId="77777777" w:rsidR="00F554DB" w:rsidRDefault="00F554DB" w:rsidP="00F554DB">
      <w:pPr>
        <w:spacing w:after="120" w:line="240" w:lineRule="auto"/>
        <w:ind w:left="357"/>
        <w:contextualSpacing/>
        <w:rPr>
          <w:rFonts w:ascii="Times New Roman" w:eastAsia="PMingLiU" w:hAnsi="Times New Roman" w:cs="Times New Roman"/>
          <w:i/>
          <w:iCs/>
          <w:sz w:val="24"/>
          <w:szCs w:val="24"/>
          <w:lang w:eastAsia="zh-TW" w:bidi="as-IN"/>
        </w:rPr>
      </w:pPr>
    </w:p>
    <w:p w14:paraId="2E8957C5" w14:textId="77777777" w:rsidR="00F554DB" w:rsidRPr="00F554DB" w:rsidRDefault="00F554DB" w:rsidP="00F554DB">
      <w:pPr>
        <w:numPr>
          <w:ilvl w:val="0"/>
          <w:numId w:val="6"/>
        </w:numPr>
        <w:spacing w:after="120" w:line="240" w:lineRule="auto"/>
        <w:ind w:left="714" w:hanging="357"/>
        <w:contextualSpacing/>
        <w:rPr>
          <w:rFonts w:ascii="Times New Roman" w:eastAsia="PMingLiU" w:hAnsi="Times New Roman" w:cs="Times New Roman"/>
          <w:i/>
          <w:iCs/>
          <w:sz w:val="24"/>
          <w:szCs w:val="24"/>
          <w:lang w:eastAsia="zh-TW" w:bidi="as-IN"/>
        </w:rPr>
        <w:sectPr w:rsidR="00F554DB" w:rsidRPr="00F554DB" w:rsidSect="007B0B77">
          <w:footerReference w:type="default" r:id="rId8"/>
          <w:headerReference w:type="first" r:id="rId9"/>
          <w:footerReference w:type="first" r:id="rId10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939A226" w14:textId="611E8AF0" w:rsidR="009F5F1F" w:rsidRPr="00747672" w:rsidRDefault="005F0103" w:rsidP="009626F5">
      <w:pPr>
        <w:pStyle w:val="Heading1"/>
        <w:numPr>
          <w:ilvl w:val="0"/>
          <w:numId w:val="22"/>
        </w:numPr>
        <w:spacing w:before="0" w:after="12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</w:pPr>
      <w:bookmarkStart w:id="4" w:name="_Toc9178805"/>
      <w:r w:rsidRPr="0074767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lastRenderedPageBreak/>
        <w:t xml:space="preserve">POSTIGNUTI REZULTATI I DIJAGRAM LOGIČKE MAPE </w:t>
      </w:r>
      <w:r w:rsidR="009F5F1F" w:rsidRPr="0074767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t>SPR MP BiH</w:t>
      </w:r>
      <w:bookmarkEnd w:id="4"/>
    </w:p>
    <w:tbl>
      <w:tblPr>
        <w:tblStyle w:val="TableGrid1"/>
        <w:tblpPr w:leftFromText="180" w:rightFromText="180" w:vertAnchor="text" w:tblpX="-43" w:tblpY="1"/>
        <w:tblOverlap w:val="never"/>
        <w:tblW w:w="5027" w:type="pct"/>
        <w:tblLook w:val="04A0" w:firstRow="1" w:lastRow="0" w:firstColumn="1" w:lastColumn="0" w:noHBand="0" w:noVBand="1"/>
      </w:tblPr>
      <w:tblGrid>
        <w:gridCol w:w="4597"/>
        <w:gridCol w:w="1255"/>
        <w:gridCol w:w="985"/>
        <w:gridCol w:w="1396"/>
        <w:gridCol w:w="1812"/>
        <w:gridCol w:w="1955"/>
        <w:gridCol w:w="2068"/>
      </w:tblGrid>
      <w:tr w:rsidR="005F0103" w:rsidRPr="009626F5" w14:paraId="0DEC5BB4" w14:textId="77777777" w:rsidTr="00B02828">
        <w:tc>
          <w:tcPr>
            <w:tcW w:w="1634" w:type="pct"/>
            <w:shd w:val="clear" w:color="auto" w:fill="44546A" w:themeFill="text2"/>
            <w:vAlign w:val="center"/>
          </w:tcPr>
          <w:p w14:paraId="4636AD4A" w14:textId="7CA33491" w:rsidR="009F5F1F" w:rsidRPr="009626F5" w:rsidRDefault="009F5F1F" w:rsidP="00B0282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Projekti</w:t>
            </w:r>
            <w:r w:rsidRPr="009626F5">
              <w:rPr>
                <w:rStyle w:val="FootnoteReference"/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footnoteReference w:id="5"/>
            </w:r>
          </w:p>
          <w:p w14:paraId="10B61CA1" w14:textId="7998B180" w:rsidR="009F5F1F" w:rsidRPr="009626F5" w:rsidRDefault="005F0103" w:rsidP="00B0282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Programa 1.1.1 </w:t>
            </w:r>
            <w:r w:rsidR="009F5F1F" w:rsidRPr="009626F5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Izrada zakona iz oblasti pravosuđa</w:t>
            </w:r>
          </w:p>
        </w:tc>
        <w:tc>
          <w:tcPr>
            <w:tcW w:w="446" w:type="pct"/>
            <w:shd w:val="clear" w:color="auto" w:fill="44546A" w:themeFill="text2"/>
            <w:vAlign w:val="center"/>
          </w:tcPr>
          <w:p w14:paraId="775AEAE9" w14:textId="77777777" w:rsidR="009F5F1F" w:rsidRPr="009626F5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Pokazatelj</w:t>
            </w:r>
          </w:p>
        </w:tc>
        <w:tc>
          <w:tcPr>
            <w:tcW w:w="350" w:type="pct"/>
            <w:shd w:val="clear" w:color="auto" w:fill="44546A" w:themeFill="text2"/>
            <w:vAlign w:val="center"/>
          </w:tcPr>
          <w:p w14:paraId="3CF6598F" w14:textId="77777777" w:rsidR="009F5F1F" w:rsidRPr="009626F5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Jedinica</w:t>
            </w:r>
          </w:p>
          <w:p w14:paraId="3EE447D8" w14:textId="77777777" w:rsidR="009F5F1F" w:rsidRPr="009626F5" w:rsidRDefault="009F5F1F" w:rsidP="00B02828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mjerenja</w:t>
            </w:r>
          </w:p>
        </w:tc>
        <w:tc>
          <w:tcPr>
            <w:tcW w:w="496" w:type="pct"/>
            <w:shd w:val="clear" w:color="auto" w:fill="44546A" w:themeFill="text2"/>
            <w:vAlign w:val="center"/>
          </w:tcPr>
          <w:p w14:paraId="022AE731" w14:textId="00D4B8A8" w:rsidR="009F5F1F" w:rsidRPr="009626F5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2015</w:t>
            </w:r>
            <w:r w:rsidR="005F0103" w:rsidRPr="009626F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  <w:p w14:paraId="71864EDC" w14:textId="77777777" w:rsidR="009F5F1F" w:rsidRPr="009626F5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Polazna vrijednost</w:t>
            </w:r>
          </w:p>
        </w:tc>
        <w:tc>
          <w:tcPr>
            <w:tcW w:w="644" w:type="pct"/>
            <w:shd w:val="clear" w:color="auto" w:fill="44546A" w:themeFill="text2"/>
            <w:vAlign w:val="center"/>
          </w:tcPr>
          <w:p w14:paraId="7D1E0FE1" w14:textId="7BBCB85B" w:rsidR="009F5F1F" w:rsidRPr="009626F5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2016</w:t>
            </w:r>
            <w:r w:rsidR="005F0103" w:rsidRPr="009626F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695" w:type="pct"/>
            <w:shd w:val="clear" w:color="auto" w:fill="44546A" w:themeFill="text2"/>
            <w:vAlign w:val="center"/>
          </w:tcPr>
          <w:p w14:paraId="7CFB5A06" w14:textId="11F96529" w:rsidR="009F5F1F" w:rsidRPr="009626F5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2017</w:t>
            </w:r>
            <w:r w:rsidR="005F0103" w:rsidRPr="009626F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736" w:type="pct"/>
            <w:shd w:val="clear" w:color="auto" w:fill="44546A" w:themeFill="text2"/>
            <w:vAlign w:val="center"/>
          </w:tcPr>
          <w:p w14:paraId="5C61D62B" w14:textId="27AA9CB4" w:rsidR="009F5F1F" w:rsidRPr="009626F5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2018</w:t>
            </w:r>
            <w:r w:rsidR="005F0103" w:rsidRPr="009626F5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</w:tr>
      <w:tr w:rsidR="005F0103" w:rsidRPr="009626F5" w14:paraId="035B42EC" w14:textId="77777777" w:rsidTr="00E777E8">
        <w:tc>
          <w:tcPr>
            <w:tcW w:w="1634" w:type="pct"/>
            <w:shd w:val="clear" w:color="auto" w:fill="FFF2CC" w:themeFill="accent4" w:themeFillTint="33"/>
            <w:vAlign w:val="center"/>
          </w:tcPr>
          <w:p w14:paraId="00E86BA4" w14:textId="45D04C75" w:rsidR="009F5F1F" w:rsidRPr="009626F5" w:rsidRDefault="009F5F1F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1.1.1.1 Izrada i upućivanje u proceduru usvajanja Zakona o besplatnoj pravnoj pomoći BiH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(BPP)</w:t>
            </w:r>
            <w:r w:rsidRPr="009626F5"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bs-Latn-BA"/>
              </w:rPr>
              <w:footnoteReference w:id="6"/>
            </w:r>
          </w:p>
        </w:tc>
        <w:tc>
          <w:tcPr>
            <w:tcW w:w="446" w:type="pct"/>
            <w:shd w:val="clear" w:color="auto" w:fill="FFF2CC" w:themeFill="accent4" w:themeFillTint="33"/>
            <w:vAlign w:val="center"/>
          </w:tcPr>
          <w:p w14:paraId="18ABF7A3" w14:textId="681239BB" w:rsidR="009F5F1F" w:rsidRPr="009626F5" w:rsidRDefault="008031D8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</w:t>
            </w:r>
          </w:p>
        </w:tc>
        <w:tc>
          <w:tcPr>
            <w:tcW w:w="350" w:type="pct"/>
            <w:shd w:val="clear" w:color="auto" w:fill="FFF2CC" w:themeFill="accent4" w:themeFillTint="33"/>
            <w:vAlign w:val="center"/>
          </w:tcPr>
          <w:p w14:paraId="6CA8CC10" w14:textId="77777777" w:rsidR="009F5F1F" w:rsidRPr="009626F5" w:rsidRDefault="009F5F1F" w:rsidP="00B02828">
            <w:pPr>
              <w:ind w:right="106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363A32B" w14:textId="77777777" w:rsidR="009F5F1F" w:rsidRPr="009626F5" w:rsidRDefault="009F5F1F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Analiza BPP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0712ECB3" w14:textId="4B18495D" w:rsidR="009F5F1F" w:rsidRPr="009626F5" w:rsidRDefault="008031D8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 upućen na usvajanje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6BCE695" w14:textId="0B335E5F" w:rsidR="009F5F1F" w:rsidRPr="009626F5" w:rsidRDefault="009F5F1F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6AF7EB30" w14:textId="42579EA9" w:rsidR="009F5F1F" w:rsidRPr="009626F5" w:rsidRDefault="009F5F1F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</w:tr>
      <w:tr w:rsidR="005F0103" w:rsidRPr="009626F5" w14:paraId="05FD287B" w14:textId="77777777" w:rsidTr="00E777E8">
        <w:tc>
          <w:tcPr>
            <w:tcW w:w="1634" w:type="pct"/>
            <w:shd w:val="clear" w:color="auto" w:fill="FFF2CC" w:themeFill="accent4" w:themeFillTint="33"/>
            <w:vAlign w:val="center"/>
          </w:tcPr>
          <w:p w14:paraId="049B9B30" w14:textId="77777777" w:rsidR="009F5F1F" w:rsidRPr="009626F5" w:rsidRDefault="009F5F1F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1.1.1.2 Izrada i upućivanje u proceduru usvajanja Zakona o upravljanju imovinom stečenom krivičnim djelom BiH</w:t>
            </w:r>
          </w:p>
        </w:tc>
        <w:tc>
          <w:tcPr>
            <w:tcW w:w="446" w:type="pct"/>
            <w:shd w:val="clear" w:color="auto" w:fill="FFF2CC" w:themeFill="accent4" w:themeFillTint="33"/>
            <w:vAlign w:val="center"/>
          </w:tcPr>
          <w:p w14:paraId="67317C4D" w14:textId="40218C52" w:rsidR="009F5F1F" w:rsidRPr="009626F5" w:rsidRDefault="008031D8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</w:t>
            </w:r>
          </w:p>
        </w:tc>
        <w:tc>
          <w:tcPr>
            <w:tcW w:w="350" w:type="pct"/>
            <w:shd w:val="clear" w:color="auto" w:fill="FFF2CC" w:themeFill="accent4" w:themeFillTint="33"/>
            <w:vAlign w:val="center"/>
          </w:tcPr>
          <w:p w14:paraId="3FFC7F72" w14:textId="77777777" w:rsidR="009F5F1F" w:rsidRPr="009626F5" w:rsidRDefault="009F5F1F" w:rsidP="00B02828">
            <w:pPr>
              <w:ind w:right="106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1638BE6" w14:textId="77777777" w:rsidR="009F5F1F" w:rsidRPr="009626F5" w:rsidRDefault="009F5F1F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Komparativna analiza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789CA334" w14:textId="4A97ABAF" w:rsidR="009F5F1F" w:rsidRPr="009626F5" w:rsidRDefault="008031D8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 upućen na usvajanje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5364D922" w14:textId="4BB42F3A" w:rsidR="009F5F1F" w:rsidRPr="009626F5" w:rsidRDefault="009F5F1F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168DA333" w14:textId="2C828721" w:rsidR="009F5F1F" w:rsidRPr="009626F5" w:rsidRDefault="009F5F1F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</w:tr>
      <w:tr w:rsidR="009626F5" w:rsidRPr="009626F5" w14:paraId="6E797402" w14:textId="77777777" w:rsidTr="00E777E8">
        <w:tc>
          <w:tcPr>
            <w:tcW w:w="1634" w:type="pct"/>
            <w:shd w:val="clear" w:color="auto" w:fill="FFF2CC" w:themeFill="accent4" w:themeFillTint="33"/>
            <w:vAlign w:val="center"/>
          </w:tcPr>
          <w:p w14:paraId="253D4EDA" w14:textId="77777777" w:rsidR="009626F5" w:rsidRPr="009626F5" w:rsidRDefault="009626F5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1.1.1.3 Izrada i upućivanje u proceduru usvajanja Zakona o izmjenama i dopunama Zakona o VSTV-u BiH</w:t>
            </w:r>
          </w:p>
        </w:tc>
        <w:tc>
          <w:tcPr>
            <w:tcW w:w="446" w:type="pct"/>
            <w:shd w:val="clear" w:color="auto" w:fill="FFF2CC" w:themeFill="accent4" w:themeFillTint="33"/>
            <w:vAlign w:val="center"/>
          </w:tcPr>
          <w:p w14:paraId="671D79B8" w14:textId="3F9EE702" w:rsidR="009626F5" w:rsidRPr="009626F5" w:rsidRDefault="008031D8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626F5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</w:t>
            </w:r>
          </w:p>
        </w:tc>
        <w:tc>
          <w:tcPr>
            <w:tcW w:w="350" w:type="pct"/>
            <w:shd w:val="clear" w:color="auto" w:fill="FFF2CC" w:themeFill="accent4" w:themeFillTint="33"/>
            <w:vAlign w:val="center"/>
          </w:tcPr>
          <w:p w14:paraId="189980DF" w14:textId="77777777" w:rsidR="009626F5" w:rsidRPr="009626F5" w:rsidRDefault="009626F5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C1B0A72" w14:textId="78966CB3" w:rsidR="009626F5" w:rsidRPr="009626F5" w:rsidRDefault="009626F5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Postojeći zakon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0AE826BC" w14:textId="62473744" w:rsidR="009626F5" w:rsidRPr="009626F5" w:rsidRDefault="008031D8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626F5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 upućen na usvajanje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679A11DB" w14:textId="1B00F651" w:rsidR="009626F5" w:rsidRPr="009626F5" w:rsidRDefault="009626F5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3AAE3FED" w14:textId="15DF9906" w:rsidR="009626F5" w:rsidRPr="009626F5" w:rsidRDefault="009626F5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</w:tr>
      <w:tr w:rsidR="005F0103" w:rsidRPr="009626F5" w14:paraId="7ABA2F33" w14:textId="77777777" w:rsidTr="00E777E8">
        <w:tc>
          <w:tcPr>
            <w:tcW w:w="1634" w:type="pct"/>
            <w:shd w:val="clear" w:color="auto" w:fill="FFF2CC" w:themeFill="accent4" w:themeFillTint="33"/>
            <w:vAlign w:val="center"/>
          </w:tcPr>
          <w:p w14:paraId="3C733984" w14:textId="77777777" w:rsidR="009F5F1F" w:rsidRPr="009626F5" w:rsidRDefault="009F5F1F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1.1.1.4 Izrada i upućivanje u proceduru usvajanja Zakona o sudovima BiH</w:t>
            </w:r>
          </w:p>
        </w:tc>
        <w:tc>
          <w:tcPr>
            <w:tcW w:w="446" w:type="pct"/>
            <w:shd w:val="clear" w:color="auto" w:fill="FFF2CC" w:themeFill="accent4" w:themeFillTint="33"/>
            <w:vAlign w:val="center"/>
          </w:tcPr>
          <w:p w14:paraId="3DF10D5E" w14:textId="7EC7C5C2" w:rsidR="009F5F1F" w:rsidRPr="009626F5" w:rsidRDefault="008031D8" w:rsidP="00B02828">
            <w:pPr>
              <w:ind w:left="1" w:right="45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</w:t>
            </w:r>
          </w:p>
        </w:tc>
        <w:tc>
          <w:tcPr>
            <w:tcW w:w="350" w:type="pct"/>
            <w:shd w:val="clear" w:color="auto" w:fill="FFF2CC" w:themeFill="accent4" w:themeFillTint="33"/>
            <w:vAlign w:val="center"/>
          </w:tcPr>
          <w:p w14:paraId="3190F82B" w14:textId="77777777" w:rsidR="009F5F1F" w:rsidRPr="009626F5" w:rsidRDefault="009F5F1F" w:rsidP="00B02828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523A89F" w14:textId="238F26CD" w:rsidR="009F5F1F" w:rsidRPr="009626F5" w:rsidRDefault="009F5F1F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Zakon o Sudu BiH i preporuke </w:t>
            </w:r>
            <w:r w:rsidR="009626F5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V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enecijanske komisije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56E28962" w14:textId="29444056" w:rsidR="009F5F1F" w:rsidRPr="009626F5" w:rsidRDefault="008031D8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 upućen na usvajanje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0090007" w14:textId="5E309398" w:rsidR="009F5F1F" w:rsidRPr="009626F5" w:rsidRDefault="009F5F1F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25FDD26A" w14:textId="415F98CA" w:rsidR="009F5F1F" w:rsidRPr="009626F5" w:rsidRDefault="009F5F1F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</w:tr>
      <w:tr w:rsidR="009626F5" w:rsidRPr="009626F5" w14:paraId="6AE91EE3" w14:textId="77777777" w:rsidTr="00E777E8">
        <w:tc>
          <w:tcPr>
            <w:tcW w:w="1634" w:type="pct"/>
            <w:shd w:val="clear" w:color="auto" w:fill="FFF2CC" w:themeFill="accent4" w:themeFillTint="33"/>
            <w:vAlign w:val="center"/>
          </w:tcPr>
          <w:p w14:paraId="61487E53" w14:textId="77777777" w:rsidR="009626F5" w:rsidRPr="009626F5" w:rsidRDefault="009626F5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1.1.1.5 Izrada i upućivanje u proceduru usvajanja Zakona o izmjenama i dopunama Zakona o Tužilaštvu BiH</w:t>
            </w:r>
          </w:p>
        </w:tc>
        <w:tc>
          <w:tcPr>
            <w:tcW w:w="446" w:type="pct"/>
            <w:shd w:val="clear" w:color="auto" w:fill="FFF2CC" w:themeFill="accent4" w:themeFillTint="33"/>
            <w:vAlign w:val="center"/>
          </w:tcPr>
          <w:p w14:paraId="3EBFEE15" w14:textId="3C20C80B" w:rsidR="009626F5" w:rsidRPr="009626F5" w:rsidRDefault="008031D8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626F5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</w:t>
            </w:r>
          </w:p>
        </w:tc>
        <w:tc>
          <w:tcPr>
            <w:tcW w:w="350" w:type="pct"/>
            <w:shd w:val="clear" w:color="auto" w:fill="FFF2CC" w:themeFill="accent4" w:themeFillTint="33"/>
            <w:vAlign w:val="center"/>
          </w:tcPr>
          <w:p w14:paraId="7CFD2082" w14:textId="77777777" w:rsidR="009626F5" w:rsidRPr="009626F5" w:rsidRDefault="009626F5" w:rsidP="00B02828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863F805" w14:textId="0CE4B18B" w:rsidR="009626F5" w:rsidRPr="009626F5" w:rsidRDefault="009626F5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Postojeći zakon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7A573C6A" w14:textId="4C17C54A" w:rsidR="009626F5" w:rsidRPr="009626F5" w:rsidRDefault="008031D8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626F5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 upućen na usvajanje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66479F8" w14:textId="30636E96" w:rsidR="009626F5" w:rsidRPr="009626F5" w:rsidRDefault="009626F5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14A64579" w14:textId="2BDCC581" w:rsidR="009626F5" w:rsidRPr="009626F5" w:rsidRDefault="009626F5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</w:tr>
      <w:tr w:rsidR="005F0103" w:rsidRPr="009626F5" w14:paraId="65CDDFBF" w14:textId="77777777" w:rsidTr="00E777E8">
        <w:tc>
          <w:tcPr>
            <w:tcW w:w="1634" w:type="pct"/>
            <w:shd w:val="clear" w:color="auto" w:fill="FFF2CC" w:themeFill="accent4" w:themeFillTint="33"/>
            <w:vAlign w:val="center"/>
          </w:tcPr>
          <w:p w14:paraId="40547C75" w14:textId="77777777" w:rsidR="009F5F1F" w:rsidRPr="009626F5" w:rsidRDefault="009F5F1F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1.1.1.6 Izrada i upućivanje u proceduru usvajanja Zakona o izmjenama i dopunama Zakona o platama i naknadama nosilaca pravosudnih dužnosti BiH</w:t>
            </w:r>
          </w:p>
        </w:tc>
        <w:tc>
          <w:tcPr>
            <w:tcW w:w="446" w:type="pct"/>
            <w:shd w:val="clear" w:color="auto" w:fill="FFF2CC" w:themeFill="accent4" w:themeFillTint="33"/>
            <w:vAlign w:val="center"/>
          </w:tcPr>
          <w:p w14:paraId="74AB32D3" w14:textId="358B071E" w:rsidR="009F5F1F" w:rsidRPr="009626F5" w:rsidRDefault="008031D8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</w:t>
            </w:r>
          </w:p>
        </w:tc>
        <w:tc>
          <w:tcPr>
            <w:tcW w:w="350" w:type="pct"/>
            <w:shd w:val="clear" w:color="auto" w:fill="FFF2CC" w:themeFill="accent4" w:themeFillTint="33"/>
            <w:vAlign w:val="center"/>
          </w:tcPr>
          <w:p w14:paraId="617C4E43" w14:textId="77777777" w:rsidR="009F5F1F" w:rsidRPr="009626F5" w:rsidRDefault="009F5F1F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8E7D458" w14:textId="0CF14BBF" w:rsidR="009F5F1F" w:rsidRPr="009626F5" w:rsidRDefault="005F0103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Postojeći zakon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0DED2D7B" w14:textId="44EBFB05" w:rsidR="009F5F1F" w:rsidRPr="009626F5" w:rsidRDefault="008031D8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 upućen na usvajanje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A92D0AD" w14:textId="21F3566A" w:rsidR="009F5F1F" w:rsidRPr="009626F5" w:rsidRDefault="009F5F1F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B889A56" w14:textId="2E24DADB" w:rsidR="009F5F1F" w:rsidRPr="009626F5" w:rsidRDefault="009F5F1F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</w:tr>
      <w:tr w:rsidR="005F0103" w:rsidRPr="009626F5" w14:paraId="7C0412DC" w14:textId="77777777" w:rsidTr="00E777E8">
        <w:tc>
          <w:tcPr>
            <w:tcW w:w="1634" w:type="pct"/>
            <w:shd w:val="clear" w:color="auto" w:fill="FFF2CC" w:themeFill="accent4" w:themeFillTint="33"/>
            <w:vAlign w:val="center"/>
          </w:tcPr>
          <w:p w14:paraId="7BADDD20" w14:textId="77777777" w:rsidR="005F0103" w:rsidRPr="009626F5" w:rsidRDefault="005F0103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1.1.1.7 Izrada i upućivanje u proceduru usvajanja Zakona o izmjenama i dopunama Zakona o krivičnom postupku BiH</w:t>
            </w:r>
          </w:p>
        </w:tc>
        <w:tc>
          <w:tcPr>
            <w:tcW w:w="446" w:type="pct"/>
            <w:shd w:val="clear" w:color="auto" w:fill="FFF2CC" w:themeFill="accent4" w:themeFillTint="33"/>
            <w:vAlign w:val="center"/>
          </w:tcPr>
          <w:p w14:paraId="3466226F" w14:textId="68025C0D" w:rsidR="005F0103" w:rsidRPr="009626F5" w:rsidRDefault="008031D8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5F0103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</w:t>
            </w:r>
          </w:p>
        </w:tc>
        <w:tc>
          <w:tcPr>
            <w:tcW w:w="350" w:type="pct"/>
            <w:shd w:val="clear" w:color="auto" w:fill="FFF2CC" w:themeFill="accent4" w:themeFillTint="33"/>
            <w:vAlign w:val="center"/>
          </w:tcPr>
          <w:p w14:paraId="64E29824" w14:textId="77777777" w:rsidR="005F0103" w:rsidRPr="009626F5" w:rsidRDefault="005F0103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0EF855C" w14:textId="6D24C863" w:rsidR="005F0103" w:rsidRPr="009626F5" w:rsidRDefault="005F0103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Postojeći zakon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47E1E780" w14:textId="0DBCEE35" w:rsidR="005F0103" w:rsidRPr="009626F5" w:rsidRDefault="008031D8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5F0103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 upućen na usvajanje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780A0B4" w14:textId="53C913D6" w:rsidR="005F0103" w:rsidRPr="009626F5" w:rsidRDefault="005F0103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03A8D0BF" w14:textId="0DF2B32B" w:rsidR="005F0103" w:rsidRPr="009626F5" w:rsidRDefault="005F0103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</w:tr>
      <w:tr w:rsidR="005F0103" w:rsidRPr="009626F5" w14:paraId="4D69F822" w14:textId="77777777" w:rsidTr="00E777E8">
        <w:tc>
          <w:tcPr>
            <w:tcW w:w="1634" w:type="pct"/>
            <w:shd w:val="clear" w:color="auto" w:fill="FFF2CC" w:themeFill="accent4" w:themeFillTint="33"/>
            <w:vAlign w:val="center"/>
          </w:tcPr>
          <w:p w14:paraId="6B28EE85" w14:textId="77777777" w:rsidR="009F5F1F" w:rsidRPr="009626F5" w:rsidRDefault="009F5F1F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1.1.1.8 Izrada i upućivanje u proceduru usvajanja Zakona o Ustavnom sudu BiH</w:t>
            </w:r>
          </w:p>
        </w:tc>
        <w:tc>
          <w:tcPr>
            <w:tcW w:w="446" w:type="pct"/>
            <w:shd w:val="clear" w:color="auto" w:fill="FFF2CC" w:themeFill="accent4" w:themeFillTint="33"/>
            <w:vAlign w:val="center"/>
          </w:tcPr>
          <w:p w14:paraId="7B5EE068" w14:textId="2E8512FE" w:rsidR="009F5F1F" w:rsidRPr="009626F5" w:rsidRDefault="008031D8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</w:t>
            </w:r>
          </w:p>
        </w:tc>
        <w:tc>
          <w:tcPr>
            <w:tcW w:w="350" w:type="pct"/>
            <w:shd w:val="clear" w:color="auto" w:fill="FFF2CC" w:themeFill="accent4" w:themeFillTint="33"/>
            <w:vAlign w:val="center"/>
          </w:tcPr>
          <w:p w14:paraId="50F28B91" w14:textId="77777777" w:rsidR="009F5F1F" w:rsidRPr="009626F5" w:rsidRDefault="009F5F1F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1DB83BE" w14:textId="77777777" w:rsidR="009F5F1F" w:rsidRPr="009626F5" w:rsidRDefault="009F5F1F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Zakon o Ustavnom sudu BiH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07672202" w14:textId="5A4F3B1F" w:rsidR="009F5F1F" w:rsidRPr="009626F5" w:rsidRDefault="008031D8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 upućen na usvajanje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5681402" w14:textId="75F69B3C" w:rsidR="009F5F1F" w:rsidRPr="009626F5" w:rsidRDefault="009F5F1F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2BFDA381" w14:textId="09E98975" w:rsidR="009F5F1F" w:rsidRPr="009626F5" w:rsidRDefault="009F5F1F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</w:tr>
      <w:tr w:rsidR="009626F5" w:rsidRPr="009626F5" w14:paraId="28B266AC" w14:textId="77777777" w:rsidTr="00E777E8">
        <w:tc>
          <w:tcPr>
            <w:tcW w:w="1634" w:type="pct"/>
            <w:shd w:val="clear" w:color="auto" w:fill="FFF2CC" w:themeFill="accent4" w:themeFillTint="33"/>
            <w:vAlign w:val="center"/>
          </w:tcPr>
          <w:p w14:paraId="273BB299" w14:textId="77777777" w:rsidR="009626F5" w:rsidRPr="009626F5" w:rsidRDefault="009626F5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1.1.1.9 Izrada i upućivanje u proceduru usvajanja Zakona o izmjenama i dopunama Krivičnog zakona BiH</w:t>
            </w:r>
          </w:p>
        </w:tc>
        <w:tc>
          <w:tcPr>
            <w:tcW w:w="446" w:type="pct"/>
            <w:shd w:val="clear" w:color="auto" w:fill="FFF2CC" w:themeFill="accent4" w:themeFillTint="33"/>
            <w:vAlign w:val="center"/>
          </w:tcPr>
          <w:p w14:paraId="6940BDFF" w14:textId="3D3F77A6" w:rsidR="009626F5" w:rsidRPr="009626F5" w:rsidRDefault="008031D8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626F5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</w:t>
            </w:r>
          </w:p>
        </w:tc>
        <w:tc>
          <w:tcPr>
            <w:tcW w:w="350" w:type="pct"/>
            <w:shd w:val="clear" w:color="auto" w:fill="FFF2CC" w:themeFill="accent4" w:themeFillTint="33"/>
            <w:vAlign w:val="center"/>
          </w:tcPr>
          <w:p w14:paraId="50EE1D7D" w14:textId="77777777" w:rsidR="009626F5" w:rsidRPr="009626F5" w:rsidRDefault="009626F5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F39944A" w14:textId="7F7FB130" w:rsidR="009626F5" w:rsidRPr="009626F5" w:rsidRDefault="009626F5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Postojeći zakon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0BCD8C29" w14:textId="74CAEFF6" w:rsidR="009626F5" w:rsidRPr="009626F5" w:rsidRDefault="008031D8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626F5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 upućen na usvajanje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2F26852C" w14:textId="5BFE4884" w:rsidR="009626F5" w:rsidRPr="009626F5" w:rsidRDefault="009626F5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0B8419D1" w14:textId="7FE4B26F" w:rsidR="009626F5" w:rsidRPr="009626F5" w:rsidRDefault="009626F5" w:rsidP="00C0496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</w:tr>
      <w:tr w:rsidR="005F0103" w:rsidRPr="009626F5" w14:paraId="6CC887E4" w14:textId="77777777" w:rsidTr="00E777E8">
        <w:tc>
          <w:tcPr>
            <w:tcW w:w="1634" w:type="pct"/>
            <w:shd w:val="clear" w:color="auto" w:fill="FFF2CC" w:themeFill="accent4" w:themeFillTint="33"/>
            <w:vAlign w:val="center"/>
          </w:tcPr>
          <w:p w14:paraId="5326768A" w14:textId="77777777" w:rsidR="009F5F1F" w:rsidRPr="009626F5" w:rsidRDefault="009F5F1F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1.1.1.10 </w:t>
            </w:r>
            <w:r w:rsidR="003E0E4A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sistema alternativnog rješavanja sporova BiH</w:t>
            </w:r>
          </w:p>
        </w:tc>
        <w:tc>
          <w:tcPr>
            <w:tcW w:w="446" w:type="pct"/>
            <w:shd w:val="clear" w:color="auto" w:fill="FFF2CC" w:themeFill="accent4" w:themeFillTint="33"/>
            <w:vAlign w:val="center"/>
          </w:tcPr>
          <w:p w14:paraId="11B4D00E" w14:textId="476AA92F" w:rsidR="009F5F1F" w:rsidRPr="009626F5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350" w:type="pct"/>
            <w:shd w:val="clear" w:color="auto" w:fill="FFF2CC" w:themeFill="accent4" w:themeFillTint="33"/>
            <w:vAlign w:val="center"/>
          </w:tcPr>
          <w:p w14:paraId="15C5D3AC" w14:textId="77777777" w:rsidR="009F5F1F" w:rsidRPr="009626F5" w:rsidRDefault="009F5F1F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8F999B5" w14:textId="77777777" w:rsidR="009F5F1F" w:rsidRPr="009626F5" w:rsidRDefault="009F5F1F" w:rsidP="00B028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7144751B" w14:textId="77777777" w:rsidR="009F5F1F" w:rsidRPr="009626F5" w:rsidRDefault="009F5F1F" w:rsidP="00B028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8E884CA" w14:textId="77777777" w:rsidR="009F5F1F" w:rsidRPr="009626F5" w:rsidRDefault="009F5F1F" w:rsidP="00B028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7842F596" w14:textId="77777777" w:rsidR="009F5F1F" w:rsidRPr="009626F5" w:rsidRDefault="009F5F1F" w:rsidP="00B028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</w:tr>
      <w:tr w:rsidR="005F0103" w:rsidRPr="009626F5" w14:paraId="709C3408" w14:textId="77777777" w:rsidTr="00E777E8">
        <w:tc>
          <w:tcPr>
            <w:tcW w:w="1634" w:type="pct"/>
            <w:shd w:val="clear" w:color="auto" w:fill="FFF2CC" w:themeFill="accent4" w:themeFillTint="33"/>
            <w:vAlign w:val="center"/>
          </w:tcPr>
          <w:p w14:paraId="7623A6FF" w14:textId="77777777" w:rsidR="009F5F1F" w:rsidRPr="009626F5" w:rsidRDefault="009F5F1F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1.1.1.11 Rasterećenje pravosudnih institucija BiH izmještanjem pojedinih postupaka</w:t>
            </w:r>
            <w:r w:rsidR="00FA77CD"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 prijenosa ovlasti</w:t>
            </w:r>
          </w:p>
        </w:tc>
        <w:tc>
          <w:tcPr>
            <w:tcW w:w="446" w:type="pct"/>
            <w:shd w:val="clear" w:color="auto" w:fill="FFF2CC" w:themeFill="accent4" w:themeFillTint="33"/>
            <w:vAlign w:val="center"/>
          </w:tcPr>
          <w:p w14:paraId="287A3A96" w14:textId="61E93AED" w:rsidR="009F5F1F" w:rsidRPr="009626F5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350" w:type="pct"/>
            <w:shd w:val="clear" w:color="auto" w:fill="FFF2CC" w:themeFill="accent4" w:themeFillTint="33"/>
            <w:vAlign w:val="center"/>
          </w:tcPr>
          <w:p w14:paraId="4FB1BC6E" w14:textId="77777777" w:rsidR="009F5F1F" w:rsidRPr="009626F5" w:rsidRDefault="009F5F1F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B584315" w14:textId="77777777" w:rsidR="009F5F1F" w:rsidRPr="009626F5" w:rsidRDefault="009F5F1F" w:rsidP="00B028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0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2CC21B90" w14:textId="77777777" w:rsidR="009F5F1F" w:rsidRPr="009626F5" w:rsidRDefault="009F5F1F" w:rsidP="00B028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38328F9" w14:textId="77777777" w:rsidR="009F5F1F" w:rsidRPr="009626F5" w:rsidRDefault="009F5F1F" w:rsidP="00B028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4B6C890" w14:textId="77777777" w:rsidR="009F5F1F" w:rsidRPr="009626F5" w:rsidRDefault="009F5F1F" w:rsidP="00B028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</w:tr>
      <w:tr w:rsidR="005F0103" w:rsidRPr="009626F5" w14:paraId="0304DD7D" w14:textId="77777777" w:rsidTr="00E777E8">
        <w:tc>
          <w:tcPr>
            <w:tcW w:w="1634" w:type="pct"/>
            <w:shd w:val="clear" w:color="auto" w:fill="FFF2CC" w:themeFill="accent4" w:themeFillTint="33"/>
            <w:vAlign w:val="center"/>
          </w:tcPr>
          <w:p w14:paraId="6FB23B79" w14:textId="77777777" w:rsidR="009F5F1F" w:rsidRPr="009626F5" w:rsidRDefault="009F5F1F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1.1.1.12 Praćenje primjene zakona o sudovima, tužilaštvima i procesnih zakona BiH i redovno postupanje prema nadležnosti sektora</w:t>
            </w:r>
          </w:p>
        </w:tc>
        <w:tc>
          <w:tcPr>
            <w:tcW w:w="446" w:type="pct"/>
            <w:shd w:val="clear" w:color="auto" w:fill="FFF2CC" w:themeFill="accent4" w:themeFillTint="33"/>
            <w:vAlign w:val="center"/>
          </w:tcPr>
          <w:p w14:paraId="638220CA" w14:textId="02249D79" w:rsidR="009F5F1F" w:rsidRPr="009626F5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350" w:type="pct"/>
            <w:shd w:val="clear" w:color="auto" w:fill="FFF2CC" w:themeFill="accent4" w:themeFillTint="33"/>
            <w:vAlign w:val="center"/>
          </w:tcPr>
          <w:p w14:paraId="3A1429E2" w14:textId="77777777" w:rsidR="009F5F1F" w:rsidRPr="009626F5" w:rsidRDefault="009F5F1F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49841BE" w14:textId="77777777" w:rsidR="009F5F1F" w:rsidRPr="009626F5" w:rsidRDefault="009F5F1F" w:rsidP="00B028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2598DEE6" w14:textId="77777777" w:rsidR="009F5F1F" w:rsidRPr="009626F5" w:rsidRDefault="009F5F1F" w:rsidP="00B028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4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279935FF" w14:textId="77777777" w:rsidR="009F5F1F" w:rsidRPr="009626F5" w:rsidRDefault="009F5F1F" w:rsidP="00B028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4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7C964D78" w14:textId="77777777" w:rsidR="009F5F1F" w:rsidRPr="009626F5" w:rsidRDefault="009F5F1F" w:rsidP="00B028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9626F5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4</w:t>
            </w:r>
          </w:p>
        </w:tc>
      </w:tr>
    </w:tbl>
    <w:p w14:paraId="0E27B00A" w14:textId="77777777" w:rsidR="009F5F1F" w:rsidRPr="00C77FF0" w:rsidRDefault="009F5F1F" w:rsidP="009F5F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FF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1"/>
        <w:tblpPr w:leftFromText="180" w:rightFromText="180" w:vertAnchor="text" w:tblpX="-43" w:tblpY="1"/>
        <w:tblOverlap w:val="never"/>
        <w:tblW w:w="5027" w:type="pct"/>
        <w:tblLook w:val="04A0" w:firstRow="1" w:lastRow="0" w:firstColumn="1" w:lastColumn="0" w:noHBand="0" w:noVBand="1"/>
      </w:tblPr>
      <w:tblGrid>
        <w:gridCol w:w="4606"/>
        <w:gridCol w:w="1249"/>
        <w:gridCol w:w="999"/>
        <w:gridCol w:w="1376"/>
        <w:gridCol w:w="1815"/>
        <w:gridCol w:w="1955"/>
        <w:gridCol w:w="2068"/>
      </w:tblGrid>
      <w:tr w:rsidR="00C576C8" w:rsidRPr="00C576C8" w14:paraId="60DCEBFF" w14:textId="77777777" w:rsidTr="00B02828">
        <w:tc>
          <w:tcPr>
            <w:tcW w:w="1637" w:type="pct"/>
            <w:shd w:val="clear" w:color="auto" w:fill="44546A" w:themeFill="text2"/>
            <w:vAlign w:val="center"/>
          </w:tcPr>
          <w:p w14:paraId="2A1BA2E1" w14:textId="431AF7DA" w:rsidR="009F5F1F" w:rsidRPr="00C576C8" w:rsidRDefault="009F5F1F" w:rsidP="00B0282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  <w:lastRenderedPageBreak/>
              <w:br w:type="page"/>
            </w:r>
            <w:r w:rsidR="00C04964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Projekti</w:t>
            </w:r>
            <w:r w:rsidRPr="00C576C8">
              <w:rPr>
                <w:rStyle w:val="FootnoteReference"/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footnoteReference w:id="7"/>
            </w:r>
          </w:p>
          <w:p w14:paraId="5B9918AE" w14:textId="77777777" w:rsidR="009F5F1F" w:rsidRPr="00C576C8" w:rsidRDefault="009F5F1F" w:rsidP="00B0282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Programa 1.1.2</w:t>
            </w:r>
          </w:p>
          <w:p w14:paraId="3E1C283C" w14:textId="77777777" w:rsidR="009F5F1F" w:rsidRPr="00C576C8" w:rsidRDefault="009F5F1F" w:rsidP="00B0282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Pravosudna uprava</w:t>
            </w:r>
          </w:p>
        </w:tc>
        <w:tc>
          <w:tcPr>
            <w:tcW w:w="444" w:type="pct"/>
            <w:shd w:val="clear" w:color="auto" w:fill="44546A" w:themeFill="text2"/>
            <w:vAlign w:val="center"/>
          </w:tcPr>
          <w:p w14:paraId="456CA6F5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Pokazatelj</w:t>
            </w:r>
          </w:p>
        </w:tc>
        <w:tc>
          <w:tcPr>
            <w:tcW w:w="355" w:type="pct"/>
            <w:shd w:val="clear" w:color="auto" w:fill="44546A" w:themeFill="text2"/>
            <w:vAlign w:val="center"/>
          </w:tcPr>
          <w:p w14:paraId="6763B02C" w14:textId="77777777" w:rsidR="009F5F1F" w:rsidRPr="00C576C8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Jedinica</w:t>
            </w:r>
          </w:p>
          <w:p w14:paraId="1A8EBDF9" w14:textId="77777777" w:rsidR="009F5F1F" w:rsidRPr="00C576C8" w:rsidRDefault="009F5F1F" w:rsidP="00B02828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mjerenja</w:t>
            </w:r>
          </w:p>
        </w:tc>
        <w:tc>
          <w:tcPr>
            <w:tcW w:w="489" w:type="pct"/>
            <w:shd w:val="clear" w:color="auto" w:fill="44546A" w:themeFill="text2"/>
            <w:vAlign w:val="center"/>
          </w:tcPr>
          <w:p w14:paraId="5BB12B56" w14:textId="352E18B6" w:rsidR="009F5F1F" w:rsidRPr="00C576C8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2015</w:t>
            </w:r>
            <w:r w:rsidR="00B0282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  <w:p w14:paraId="5E62B0E6" w14:textId="77777777" w:rsidR="009F5F1F" w:rsidRPr="00C576C8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Polazna vrijednost</w:t>
            </w:r>
          </w:p>
        </w:tc>
        <w:tc>
          <w:tcPr>
            <w:tcW w:w="645" w:type="pct"/>
            <w:shd w:val="clear" w:color="auto" w:fill="44546A" w:themeFill="text2"/>
            <w:vAlign w:val="center"/>
          </w:tcPr>
          <w:p w14:paraId="00C07840" w14:textId="4476C0BA" w:rsidR="009F5F1F" w:rsidRPr="00C576C8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2016</w:t>
            </w:r>
            <w:r w:rsidR="00B0282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695" w:type="pct"/>
            <w:shd w:val="clear" w:color="auto" w:fill="44546A" w:themeFill="text2"/>
            <w:vAlign w:val="center"/>
          </w:tcPr>
          <w:p w14:paraId="6CD3E1A9" w14:textId="1ACC8BC5" w:rsidR="009F5F1F" w:rsidRPr="00C576C8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2017</w:t>
            </w:r>
            <w:r w:rsidR="00B0282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736" w:type="pct"/>
            <w:shd w:val="clear" w:color="auto" w:fill="44546A" w:themeFill="text2"/>
            <w:vAlign w:val="center"/>
          </w:tcPr>
          <w:p w14:paraId="145E21DF" w14:textId="341AC322" w:rsidR="009F5F1F" w:rsidRPr="00C576C8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2018</w:t>
            </w:r>
            <w:r w:rsidR="00B0282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</w:tr>
      <w:tr w:rsidR="00B02828" w:rsidRPr="00C576C8" w14:paraId="4D0FFD69" w14:textId="77777777" w:rsidTr="009F78A2">
        <w:tc>
          <w:tcPr>
            <w:tcW w:w="1637" w:type="pct"/>
            <w:shd w:val="clear" w:color="auto" w:fill="FFF2CC" w:themeFill="accent4" w:themeFillTint="33"/>
            <w:vAlign w:val="center"/>
          </w:tcPr>
          <w:p w14:paraId="21FF8D67" w14:textId="036DB927" w:rsidR="009F5F1F" w:rsidRPr="00C576C8" w:rsidRDefault="009F5F1F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1.1.2.1 </w:t>
            </w:r>
            <w:r w:rsidR="003E0E4A"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</w:t>
            </w: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i usklađivanje statusa zaposlenih </w:t>
            </w:r>
            <w:r w:rsidR="00DC0AA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osoba</w:t>
            </w: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u pravosuđu BiH</w:t>
            </w:r>
          </w:p>
        </w:tc>
        <w:tc>
          <w:tcPr>
            <w:tcW w:w="444" w:type="pct"/>
            <w:shd w:val="clear" w:color="auto" w:fill="FFF2CC" w:themeFill="accent4" w:themeFillTint="33"/>
            <w:vAlign w:val="center"/>
          </w:tcPr>
          <w:p w14:paraId="7AB5F540" w14:textId="721BE89D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14:paraId="223847A8" w14:textId="77777777" w:rsidR="009F5F1F" w:rsidRPr="00C576C8" w:rsidRDefault="009F5F1F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6B20A0C" w14:textId="77777777" w:rsidR="009F5F1F" w:rsidRPr="00C576C8" w:rsidRDefault="009F5F1F" w:rsidP="00B028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A8CB7E" w14:textId="77777777" w:rsidR="009F5F1F" w:rsidRPr="00C576C8" w:rsidRDefault="009F5F1F" w:rsidP="00B028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2E643A39" w14:textId="77777777" w:rsidR="009F5F1F" w:rsidRPr="00C576C8" w:rsidRDefault="009F5F1F" w:rsidP="00B028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A9DB5E7" w14:textId="77777777" w:rsidR="009F5F1F" w:rsidRPr="00C576C8" w:rsidRDefault="009F5F1F" w:rsidP="00B028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</w:tr>
      <w:tr w:rsidR="00B02828" w:rsidRPr="00C576C8" w14:paraId="2D7610D4" w14:textId="77777777" w:rsidTr="009F78A2">
        <w:tc>
          <w:tcPr>
            <w:tcW w:w="1637" w:type="pct"/>
            <w:shd w:val="clear" w:color="auto" w:fill="FFF2CC" w:themeFill="accent4" w:themeFillTint="33"/>
            <w:vAlign w:val="center"/>
          </w:tcPr>
          <w:p w14:paraId="3B2C830A" w14:textId="77777777" w:rsidR="009F5F1F" w:rsidRPr="00C576C8" w:rsidRDefault="009F5F1F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1.1.2.2 Modernizacija i ujednačavanje programa polaganja pravosudnih ispita BiH</w:t>
            </w:r>
          </w:p>
        </w:tc>
        <w:tc>
          <w:tcPr>
            <w:tcW w:w="444" w:type="pct"/>
            <w:shd w:val="clear" w:color="auto" w:fill="FFF2CC" w:themeFill="accent4" w:themeFillTint="33"/>
            <w:vAlign w:val="center"/>
          </w:tcPr>
          <w:p w14:paraId="2FFA06BB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Certifikat obuka za pružanje pravne pomoći</w:t>
            </w: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14:paraId="3E2CB9C3" w14:textId="77777777" w:rsidR="009F5F1F" w:rsidRPr="00C576C8" w:rsidRDefault="009F5F1F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BC03362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DED8E9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D63D2B4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FD71FBC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</w:tr>
      <w:tr w:rsidR="00B02828" w:rsidRPr="00C576C8" w14:paraId="5301CB0D" w14:textId="77777777" w:rsidTr="009F78A2">
        <w:trPr>
          <w:trHeight w:val="186"/>
        </w:trPr>
        <w:tc>
          <w:tcPr>
            <w:tcW w:w="1637" w:type="pct"/>
            <w:vMerge w:val="restart"/>
            <w:shd w:val="clear" w:color="auto" w:fill="FFF2CC" w:themeFill="accent4" w:themeFillTint="33"/>
            <w:vAlign w:val="center"/>
          </w:tcPr>
          <w:p w14:paraId="1F33C28B" w14:textId="77777777" w:rsidR="009F5F1F" w:rsidRPr="00C576C8" w:rsidRDefault="009F5F1F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1.1.2.3 Jačanje podrške braniocima pred Sudom BiH u postupcima za: ratne zločine, organizovani kriminal, privredni kriminal i korupcije</w:t>
            </w:r>
          </w:p>
        </w:tc>
        <w:tc>
          <w:tcPr>
            <w:tcW w:w="444" w:type="pct"/>
            <w:shd w:val="clear" w:color="auto" w:fill="FFF2CC" w:themeFill="accent4" w:themeFillTint="33"/>
            <w:vAlign w:val="center"/>
          </w:tcPr>
          <w:p w14:paraId="2E67F205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Certifikat obuka  za pružanje pravne pomoći</w:t>
            </w: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14:paraId="1BBA6EB0" w14:textId="77777777" w:rsidR="009F5F1F" w:rsidRPr="00C576C8" w:rsidRDefault="009F5F1F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E1E336A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BFDD700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25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219897CE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30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AFB958C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36</w:t>
            </w:r>
          </w:p>
        </w:tc>
      </w:tr>
      <w:tr w:rsidR="00B02828" w:rsidRPr="00C576C8" w14:paraId="534FD2DB" w14:textId="77777777" w:rsidTr="009F78A2">
        <w:trPr>
          <w:trHeight w:val="183"/>
        </w:trPr>
        <w:tc>
          <w:tcPr>
            <w:tcW w:w="1637" w:type="pct"/>
            <w:vMerge/>
            <w:shd w:val="clear" w:color="auto" w:fill="FFF2CC" w:themeFill="accent4" w:themeFillTint="33"/>
            <w:vAlign w:val="center"/>
          </w:tcPr>
          <w:p w14:paraId="60061E4C" w14:textId="77777777" w:rsidR="009F5F1F" w:rsidRPr="00C576C8" w:rsidRDefault="009F5F1F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444" w:type="pct"/>
            <w:shd w:val="clear" w:color="auto" w:fill="FFF2CC" w:themeFill="accent4" w:themeFillTint="33"/>
            <w:vAlign w:val="center"/>
          </w:tcPr>
          <w:p w14:paraId="43BD0B2D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Popis branilaca</w:t>
            </w: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14:paraId="0BE70468" w14:textId="77777777" w:rsidR="009F5F1F" w:rsidRPr="00C576C8" w:rsidRDefault="009F5F1F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8F7D30E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400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DC15D76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600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AFFCB7C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800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EE938CE" w14:textId="20E6729C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  <w:r w:rsid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.</w:t>
            </w: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000</w:t>
            </w:r>
          </w:p>
        </w:tc>
      </w:tr>
      <w:tr w:rsidR="00B02828" w:rsidRPr="00C576C8" w14:paraId="5E51AE16" w14:textId="77777777" w:rsidTr="009F78A2">
        <w:trPr>
          <w:trHeight w:val="183"/>
        </w:trPr>
        <w:tc>
          <w:tcPr>
            <w:tcW w:w="1637" w:type="pct"/>
            <w:vMerge/>
            <w:shd w:val="clear" w:color="auto" w:fill="FFF2CC" w:themeFill="accent4" w:themeFillTint="33"/>
            <w:vAlign w:val="center"/>
          </w:tcPr>
          <w:p w14:paraId="44EAFD9C" w14:textId="77777777" w:rsidR="009F5F1F" w:rsidRPr="00C576C8" w:rsidRDefault="009F5F1F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444" w:type="pct"/>
            <w:shd w:val="clear" w:color="auto" w:fill="FFF2CC" w:themeFill="accent4" w:themeFillTint="33"/>
            <w:vAlign w:val="center"/>
          </w:tcPr>
          <w:p w14:paraId="25276B15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Podnesci MKSJ, ESLJP i Ustavnom sudu BiH</w:t>
            </w: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14:paraId="31A2A7E4" w14:textId="77777777" w:rsidR="009F5F1F" w:rsidRPr="00C576C8" w:rsidRDefault="009F5F1F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74B1212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CF700D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100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705F89A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140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6F789D83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180</w:t>
            </w:r>
          </w:p>
        </w:tc>
      </w:tr>
      <w:tr w:rsidR="00B02828" w:rsidRPr="00C576C8" w14:paraId="213159E6" w14:textId="77777777" w:rsidTr="009F78A2">
        <w:trPr>
          <w:trHeight w:val="183"/>
        </w:trPr>
        <w:tc>
          <w:tcPr>
            <w:tcW w:w="1637" w:type="pct"/>
            <w:vMerge/>
            <w:shd w:val="clear" w:color="auto" w:fill="FFF2CC" w:themeFill="accent4" w:themeFillTint="33"/>
            <w:vAlign w:val="center"/>
          </w:tcPr>
          <w:p w14:paraId="4B94D5A5" w14:textId="77777777" w:rsidR="009F5F1F" w:rsidRPr="00C576C8" w:rsidRDefault="009F5F1F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444" w:type="pct"/>
            <w:shd w:val="clear" w:color="auto" w:fill="FFF2CC" w:themeFill="accent4" w:themeFillTint="33"/>
            <w:vAlign w:val="center"/>
          </w:tcPr>
          <w:p w14:paraId="47D7BB13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Publikacija OKO Reporter</w:t>
            </w: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14:paraId="44C7D7AE" w14:textId="77777777" w:rsidR="009F5F1F" w:rsidRPr="00C576C8" w:rsidRDefault="009F5F1F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9A728AC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8B4C29E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6DEB9483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7FC42638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</w:tr>
      <w:tr w:rsidR="00B02828" w:rsidRPr="00C576C8" w14:paraId="08AFD3E4" w14:textId="77777777" w:rsidTr="009F78A2">
        <w:trPr>
          <w:trHeight w:val="270"/>
        </w:trPr>
        <w:tc>
          <w:tcPr>
            <w:tcW w:w="1637" w:type="pct"/>
            <w:vMerge w:val="restart"/>
            <w:shd w:val="clear" w:color="auto" w:fill="FFF2CC" w:themeFill="accent4" w:themeFillTint="33"/>
            <w:vAlign w:val="center"/>
          </w:tcPr>
          <w:p w14:paraId="0E615990" w14:textId="77777777" w:rsidR="009F5F1F" w:rsidRPr="00C576C8" w:rsidRDefault="009F5F1F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1.1.2.4 </w:t>
            </w:r>
            <w:r w:rsidR="003E0E4A"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</w:t>
            </w: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efikasnosti i kvalitete rada sudskih policajaca BiH</w:t>
            </w:r>
          </w:p>
        </w:tc>
        <w:tc>
          <w:tcPr>
            <w:tcW w:w="444" w:type="pct"/>
            <w:shd w:val="clear" w:color="auto" w:fill="FFF2CC" w:themeFill="accent4" w:themeFillTint="33"/>
            <w:vAlign w:val="center"/>
          </w:tcPr>
          <w:p w14:paraId="272D8BA2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Certifikat obuka iz domene rada</w:t>
            </w: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14:paraId="22F08341" w14:textId="47009310" w:rsidR="009F5F1F" w:rsidRPr="00C576C8" w:rsidRDefault="00C576C8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1C0AA51" w14:textId="77777777" w:rsidR="009F5F1F" w:rsidRPr="00C576C8" w:rsidRDefault="009F5F1F" w:rsidP="00B02828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27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903FD93" w14:textId="77777777" w:rsidR="009F5F1F" w:rsidRPr="00C576C8" w:rsidRDefault="009F5F1F" w:rsidP="00B02828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37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28E52AA1" w14:textId="77777777" w:rsidR="009F5F1F" w:rsidRPr="00C576C8" w:rsidRDefault="009F5F1F" w:rsidP="00B02828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47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6E55690C" w14:textId="77777777" w:rsidR="009F5F1F" w:rsidRPr="00C576C8" w:rsidRDefault="009F5F1F" w:rsidP="00B02828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59</w:t>
            </w:r>
          </w:p>
        </w:tc>
      </w:tr>
      <w:tr w:rsidR="00B02828" w:rsidRPr="00C576C8" w14:paraId="5C4FDDD9" w14:textId="77777777" w:rsidTr="009F78A2">
        <w:trPr>
          <w:trHeight w:val="270"/>
        </w:trPr>
        <w:tc>
          <w:tcPr>
            <w:tcW w:w="1637" w:type="pct"/>
            <w:vMerge/>
            <w:shd w:val="clear" w:color="auto" w:fill="FFF2CC" w:themeFill="accent4" w:themeFillTint="33"/>
          </w:tcPr>
          <w:p w14:paraId="3DEEC669" w14:textId="77777777" w:rsidR="009F5F1F" w:rsidRPr="00C576C8" w:rsidRDefault="009F5F1F" w:rsidP="00B02828">
            <w:pPr>
              <w:spacing w:before="60" w:after="60"/>
              <w:ind w:left="1" w:right="27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444" w:type="pct"/>
            <w:shd w:val="clear" w:color="auto" w:fill="FFF2CC" w:themeFill="accent4" w:themeFillTint="33"/>
            <w:vAlign w:val="center"/>
          </w:tcPr>
          <w:p w14:paraId="7807D67B" w14:textId="77777777" w:rsidR="009F5F1F" w:rsidRPr="00C576C8" w:rsidRDefault="003E0E4A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Prosječan</w:t>
            </w:r>
            <w:r w:rsidR="009F5F1F"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trošak po intervenciji</w:t>
            </w: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14:paraId="21DBF2B3" w14:textId="0BD6286A" w:rsidR="009F5F1F" w:rsidRPr="00C576C8" w:rsidRDefault="00C576C8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C6018E7" w14:textId="77777777" w:rsidR="009F5F1F" w:rsidRPr="00C576C8" w:rsidRDefault="009F5F1F" w:rsidP="00B02828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566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13290E" w14:textId="77777777" w:rsidR="009F5F1F" w:rsidRPr="00C576C8" w:rsidRDefault="009F5F1F" w:rsidP="00B02828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566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6384A14" w14:textId="77777777" w:rsidR="009F5F1F" w:rsidRPr="00C576C8" w:rsidRDefault="009F5F1F" w:rsidP="00B02828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566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3C8B4B6D" w14:textId="77777777" w:rsidR="009F5F1F" w:rsidRPr="00C576C8" w:rsidRDefault="009F5F1F" w:rsidP="00B02828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566</w:t>
            </w:r>
          </w:p>
        </w:tc>
      </w:tr>
      <w:tr w:rsidR="00C576C8" w:rsidRPr="00C576C8" w14:paraId="45250D8A" w14:textId="77777777" w:rsidTr="00B02828">
        <w:trPr>
          <w:trHeight w:val="270"/>
        </w:trPr>
        <w:tc>
          <w:tcPr>
            <w:tcW w:w="1637" w:type="pct"/>
            <w:shd w:val="clear" w:color="auto" w:fill="44546A" w:themeFill="text2"/>
            <w:vAlign w:val="center"/>
          </w:tcPr>
          <w:p w14:paraId="3A2FEFD4" w14:textId="546E0B2C" w:rsidR="009F5F1F" w:rsidRPr="00C576C8" w:rsidRDefault="009F5F1F" w:rsidP="00B0282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Projekat</w:t>
            </w:r>
            <w:r w:rsidRPr="00C576C8">
              <w:rPr>
                <w:rStyle w:val="FootnoteReference"/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footnoteReference w:id="8"/>
            </w:r>
          </w:p>
          <w:p w14:paraId="3D67B359" w14:textId="77777777" w:rsidR="009F5F1F" w:rsidRPr="00C576C8" w:rsidRDefault="009F5F1F" w:rsidP="00B0282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Programa 1.1.3</w:t>
            </w:r>
          </w:p>
          <w:p w14:paraId="0A921350" w14:textId="77777777" w:rsidR="009F5F1F" w:rsidRPr="00C576C8" w:rsidRDefault="009F5F1F" w:rsidP="00B0282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Međunarodna pravosudna saradnja</w:t>
            </w:r>
          </w:p>
        </w:tc>
        <w:tc>
          <w:tcPr>
            <w:tcW w:w="444" w:type="pct"/>
            <w:shd w:val="clear" w:color="auto" w:fill="44546A" w:themeFill="text2"/>
            <w:vAlign w:val="center"/>
          </w:tcPr>
          <w:p w14:paraId="320EC9E2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Pokazatelj</w:t>
            </w:r>
          </w:p>
        </w:tc>
        <w:tc>
          <w:tcPr>
            <w:tcW w:w="355" w:type="pct"/>
            <w:shd w:val="clear" w:color="auto" w:fill="44546A" w:themeFill="text2"/>
            <w:vAlign w:val="center"/>
          </w:tcPr>
          <w:p w14:paraId="3FEE7EEC" w14:textId="77777777" w:rsidR="009F5F1F" w:rsidRPr="00C576C8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Jedinica</w:t>
            </w:r>
          </w:p>
          <w:p w14:paraId="5201445C" w14:textId="77777777" w:rsidR="009F5F1F" w:rsidRPr="00C576C8" w:rsidRDefault="009F5F1F" w:rsidP="00B02828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mjerenja</w:t>
            </w:r>
          </w:p>
        </w:tc>
        <w:tc>
          <w:tcPr>
            <w:tcW w:w="489" w:type="pct"/>
            <w:shd w:val="clear" w:color="auto" w:fill="44546A" w:themeFill="text2"/>
            <w:vAlign w:val="center"/>
          </w:tcPr>
          <w:p w14:paraId="1DA7EB36" w14:textId="4A6B1669" w:rsidR="009F5F1F" w:rsidRPr="00C576C8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2015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  <w:p w14:paraId="4F9ADE25" w14:textId="77777777" w:rsidR="009F5F1F" w:rsidRPr="00C576C8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Polazna vrijednost</w:t>
            </w:r>
          </w:p>
        </w:tc>
        <w:tc>
          <w:tcPr>
            <w:tcW w:w="645" w:type="pct"/>
            <w:shd w:val="clear" w:color="auto" w:fill="44546A" w:themeFill="text2"/>
            <w:vAlign w:val="center"/>
          </w:tcPr>
          <w:p w14:paraId="5C5D9587" w14:textId="0947A931" w:rsidR="009F5F1F" w:rsidRPr="00C576C8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2016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695" w:type="pct"/>
            <w:shd w:val="clear" w:color="auto" w:fill="44546A" w:themeFill="text2"/>
            <w:vAlign w:val="center"/>
          </w:tcPr>
          <w:p w14:paraId="48256C82" w14:textId="1D32779F" w:rsidR="009F5F1F" w:rsidRPr="00C576C8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2017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736" w:type="pct"/>
            <w:shd w:val="clear" w:color="auto" w:fill="44546A" w:themeFill="text2"/>
            <w:vAlign w:val="center"/>
          </w:tcPr>
          <w:p w14:paraId="722956E6" w14:textId="3423D8CB" w:rsidR="009F5F1F" w:rsidRPr="00C576C8" w:rsidRDefault="009F5F1F" w:rsidP="00B0282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2018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</w:tr>
      <w:tr w:rsidR="00B02828" w:rsidRPr="00C576C8" w14:paraId="7B36A5F2" w14:textId="77777777" w:rsidTr="00E777E8">
        <w:trPr>
          <w:trHeight w:val="270"/>
        </w:trPr>
        <w:tc>
          <w:tcPr>
            <w:tcW w:w="1637" w:type="pct"/>
            <w:vMerge w:val="restart"/>
            <w:shd w:val="clear" w:color="auto" w:fill="FFF2CC" w:themeFill="accent4" w:themeFillTint="33"/>
            <w:vAlign w:val="center"/>
          </w:tcPr>
          <w:p w14:paraId="21710404" w14:textId="6CBEFCBD" w:rsidR="009F5F1F" w:rsidRPr="00C576C8" w:rsidRDefault="7C1D1F8F" w:rsidP="00B0282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1.1.3.1 Kontinuirano unapređnje usklađenosti zakonodavstva BiH sa međunarodnim standardima i entitetskih zakonodavstva sa zakonodavstvom BiH</w:t>
            </w:r>
          </w:p>
        </w:tc>
        <w:tc>
          <w:tcPr>
            <w:tcW w:w="444" w:type="pct"/>
            <w:shd w:val="clear" w:color="auto" w:fill="FFF2CC" w:themeFill="accent4" w:themeFillTint="33"/>
            <w:vAlign w:val="center"/>
          </w:tcPr>
          <w:p w14:paraId="708DCDAE" w14:textId="28EADC08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14:paraId="0F514E78" w14:textId="6FB0F19D" w:rsidR="009F5F1F" w:rsidRPr="00C576C8" w:rsidRDefault="00C576C8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6783CDB" w14:textId="77777777" w:rsidR="009F5F1F" w:rsidRPr="00C576C8" w:rsidRDefault="009F5F1F" w:rsidP="00B02828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B896037" w14:textId="77777777" w:rsidR="009F5F1F" w:rsidRPr="00C576C8" w:rsidRDefault="009F5F1F" w:rsidP="00B02828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E86812A" w14:textId="77777777" w:rsidR="009F5F1F" w:rsidRPr="00C576C8" w:rsidRDefault="009F5F1F" w:rsidP="00B02828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55CCB594" w14:textId="77777777" w:rsidR="009F5F1F" w:rsidRPr="00C576C8" w:rsidRDefault="009F5F1F" w:rsidP="00B02828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</w:tr>
      <w:tr w:rsidR="00B02828" w:rsidRPr="00C576C8" w14:paraId="70BB1998" w14:textId="77777777" w:rsidTr="00E777E8">
        <w:trPr>
          <w:trHeight w:val="270"/>
        </w:trPr>
        <w:tc>
          <w:tcPr>
            <w:tcW w:w="1637" w:type="pct"/>
            <w:vMerge/>
            <w:shd w:val="clear" w:color="auto" w:fill="FFF2CC" w:themeFill="accent4" w:themeFillTint="33"/>
          </w:tcPr>
          <w:p w14:paraId="3656B9AB" w14:textId="77777777" w:rsidR="009F5F1F" w:rsidRPr="00C576C8" w:rsidRDefault="009F5F1F" w:rsidP="00B02828">
            <w:pPr>
              <w:spacing w:before="60" w:after="60"/>
              <w:ind w:left="1" w:right="27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444" w:type="pct"/>
            <w:shd w:val="clear" w:color="auto" w:fill="FFF2CC" w:themeFill="accent4" w:themeFillTint="33"/>
            <w:vAlign w:val="center"/>
          </w:tcPr>
          <w:p w14:paraId="6E0B8003" w14:textId="77777777" w:rsidR="009F5F1F" w:rsidRPr="00C576C8" w:rsidRDefault="009F5F1F" w:rsidP="00B0282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Evidencija unosa baze podataka</w:t>
            </w: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14:paraId="2823CD78" w14:textId="06D4B330" w:rsidR="009F5F1F" w:rsidRPr="00C576C8" w:rsidRDefault="00C576C8" w:rsidP="00B0282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08848A1" w14:textId="40594031" w:rsidR="009F5F1F" w:rsidRPr="00C576C8" w:rsidRDefault="009F5F1F" w:rsidP="00B02828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  <w:r w:rsid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.</w:t>
            </w: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500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33A0141" w14:textId="3B00771C" w:rsidR="009F5F1F" w:rsidRPr="00C576C8" w:rsidRDefault="009F5F1F" w:rsidP="00B02828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  <w:r w:rsid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.</w:t>
            </w: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500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A871F26" w14:textId="1BE648D0" w:rsidR="009F5F1F" w:rsidRPr="00C576C8" w:rsidRDefault="009F5F1F" w:rsidP="00B02828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4</w:t>
            </w:r>
            <w:r w:rsid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.</w:t>
            </w: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000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31888AF8" w14:textId="6C840CA8" w:rsidR="009F5F1F" w:rsidRPr="00C576C8" w:rsidRDefault="009F5F1F" w:rsidP="00B02828">
            <w:pPr>
              <w:ind w:right="109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5</w:t>
            </w:r>
            <w:r w:rsid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.</w:t>
            </w:r>
            <w:r w:rsidRPr="00C576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900</w:t>
            </w:r>
          </w:p>
        </w:tc>
      </w:tr>
    </w:tbl>
    <w:p w14:paraId="45FB0818" w14:textId="77777777" w:rsidR="009F5F1F" w:rsidRPr="00C77FF0" w:rsidRDefault="009F5F1F" w:rsidP="009F5F1F">
      <w:pPr>
        <w:rPr>
          <w:rFonts w:ascii="Times New Roman" w:hAnsi="Times New Roman" w:cs="Times New Roman"/>
          <w:sz w:val="24"/>
          <w:szCs w:val="24"/>
        </w:rPr>
      </w:pPr>
      <w:r w:rsidRPr="00C77FF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1"/>
        <w:tblpPr w:leftFromText="180" w:rightFromText="180" w:vertAnchor="text" w:horzAnchor="margin" w:tblpX="-39" w:tblpY="-29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4644"/>
        <w:gridCol w:w="1276"/>
        <w:gridCol w:w="992"/>
        <w:gridCol w:w="1418"/>
        <w:gridCol w:w="1843"/>
        <w:gridCol w:w="1984"/>
        <w:gridCol w:w="2126"/>
      </w:tblGrid>
      <w:tr w:rsidR="00C04964" w:rsidRPr="00C04964" w14:paraId="73276A82" w14:textId="77777777" w:rsidTr="00E777E8">
        <w:tc>
          <w:tcPr>
            <w:tcW w:w="4644" w:type="dxa"/>
            <w:shd w:val="clear" w:color="auto" w:fill="44546A" w:themeFill="text2"/>
            <w:vAlign w:val="center"/>
          </w:tcPr>
          <w:p w14:paraId="5D31A91F" w14:textId="77777777" w:rsidR="009F5F1F" w:rsidRPr="00C04964" w:rsidRDefault="009F5F1F" w:rsidP="00E777E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lastRenderedPageBreak/>
              <w:t>Projekti</w:t>
            </w:r>
            <w:r w:rsidRPr="00C04964">
              <w:rPr>
                <w:rStyle w:val="FootnoteReference"/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footnoteReference w:id="9"/>
            </w:r>
          </w:p>
          <w:p w14:paraId="390734A9" w14:textId="77777777" w:rsidR="009F5F1F" w:rsidRPr="00C04964" w:rsidRDefault="009F5F1F" w:rsidP="00E777E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Programa 1.2.1</w:t>
            </w:r>
          </w:p>
          <w:p w14:paraId="45D1EDBD" w14:textId="77777777" w:rsidR="009F5F1F" w:rsidRPr="00C04964" w:rsidRDefault="009F5F1F" w:rsidP="00E777E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Upravljanje sistemom za izvršenje krivičnih sankcija BiH</w:t>
            </w:r>
          </w:p>
        </w:tc>
        <w:tc>
          <w:tcPr>
            <w:tcW w:w="1276" w:type="dxa"/>
            <w:shd w:val="clear" w:color="auto" w:fill="44546A" w:themeFill="text2"/>
            <w:vAlign w:val="center"/>
          </w:tcPr>
          <w:p w14:paraId="1AF4D0A3" w14:textId="77777777" w:rsidR="009F5F1F" w:rsidRPr="00C04964" w:rsidRDefault="009F5F1F" w:rsidP="00E777E8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Pokazatelj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35328461" w14:textId="77777777" w:rsidR="009F5F1F" w:rsidRPr="00C04964" w:rsidRDefault="009F5F1F" w:rsidP="00E777E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Jedinica</w:t>
            </w:r>
          </w:p>
          <w:p w14:paraId="348BE893" w14:textId="77777777" w:rsidR="009F5F1F" w:rsidRPr="00C04964" w:rsidRDefault="009F5F1F" w:rsidP="00E777E8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mjerenja</w:t>
            </w:r>
          </w:p>
        </w:tc>
        <w:tc>
          <w:tcPr>
            <w:tcW w:w="1418" w:type="dxa"/>
            <w:shd w:val="clear" w:color="auto" w:fill="44546A" w:themeFill="text2"/>
            <w:vAlign w:val="center"/>
          </w:tcPr>
          <w:p w14:paraId="4CBDB531" w14:textId="2DADB72B" w:rsidR="009F5F1F" w:rsidRPr="00C04964" w:rsidRDefault="009F5F1F" w:rsidP="00E777E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2015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  <w:p w14:paraId="373EFAF9" w14:textId="77777777" w:rsidR="009F5F1F" w:rsidRPr="00C04964" w:rsidRDefault="009F5F1F" w:rsidP="00E777E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Polazna vrijednost</w:t>
            </w:r>
          </w:p>
        </w:tc>
        <w:tc>
          <w:tcPr>
            <w:tcW w:w="1843" w:type="dxa"/>
            <w:shd w:val="clear" w:color="auto" w:fill="44546A" w:themeFill="text2"/>
            <w:vAlign w:val="center"/>
          </w:tcPr>
          <w:p w14:paraId="263707DC" w14:textId="7C58A6D6" w:rsidR="009F5F1F" w:rsidRPr="00C04964" w:rsidRDefault="009F5F1F" w:rsidP="00E777E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2016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1984" w:type="dxa"/>
            <w:shd w:val="clear" w:color="auto" w:fill="44546A" w:themeFill="text2"/>
            <w:vAlign w:val="center"/>
          </w:tcPr>
          <w:p w14:paraId="5428B5ED" w14:textId="7005651D" w:rsidR="009F5F1F" w:rsidRPr="00C04964" w:rsidRDefault="009F5F1F" w:rsidP="00E777E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2017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2126" w:type="dxa"/>
            <w:shd w:val="clear" w:color="auto" w:fill="44546A" w:themeFill="text2"/>
            <w:vAlign w:val="center"/>
          </w:tcPr>
          <w:p w14:paraId="16858733" w14:textId="1A04EFAA" w:rsidR="009F5F1F" w:rsidRPr="00C04964" w:rsidRDefault="009F5F1F" w:rsidP="00E777E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2018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</w:tr>
      <w:tr w:rsidR="009F5F1F" w:rsidRPr="00C04964" w14:paraId="3169BA58" w14:textId="77777777" w:rsidTr="00E777E8">
        <w:tc>
          <w:tcPr>
            <w:tcW w:w="4644" w:type="dxa"/>
            <w:vMerge w:val="restart"/>
            <w:shd w:val="clear" w:color="auto" w:fill="FFF2CC" w:themeFill="accent4" w:themeFillTint="33"/>
            <w:vAlign w:val="center"/>
          </w:tcPr>
          <w:p w14:paraId="281BC000" w14:textId="77777777" w:rsidR="009F5F1F" w:rsidRPr="00C04964" w:rsidRDefault="009F5F1F" w:rsidP="00E777E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1.2.1.1 Usklađivanje standarda i propisa koji uređuju izvršenje krivičnih sankcija u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4A8C789" w14:textId="5685F32F" w:rsidR="009F5F1F" w:rsidRPr="00C04964" w:rsidRDefault="009F5F1F" w:rsidP="00E777E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2D1945C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861898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C26413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581EC8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C1D538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62</w:t>
            </w:r>
          </w:p>
        </w:tc>
      </w:tr>
      <w:tr w:rsidR="009F5F1F" w:rsidRPr="00C04964" w14:paraId="3C214538" w14:textId="77777777" w:rsidTr="00E777E8">
        <w:tc>
          <w:tcPr>
            <w:tcW w:w="4644" w:type="dxa"/>
            <w:vMerge/>
            <w:shd w:val="clear" w:color="auto" w:fill="FFF2CC" w:themeFill="accent4" w:themeFillTint="33"/>
            <w:vAlign w:val="center"/>
          </w:tcPr>
          <w:p w14:paraId="049F31CB" w14:textId="77777777" w:rsidR="009F5F1F" w:rsidRPr="00C04964" w:rsidRDefault="009F5F1F" w:rsidP="00E777E8">
            <w:pPr>
              <w:spacing w:before="60" w:after="60"/>
              <w:ind w:left="1" w:right="27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0E161B1" w14:textId="70A344D3" w:rsidR="009F5F1F" w:rsidRPr="00C04964" w:rsidRDefault="00F340F6" w:rsidP="00E777E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24993BB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FE09A9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ZIKS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381E28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prečišćenog teksta Zakona upućen na usvajanje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351F4A" w14:textId="6BB0FFCA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DFB9C4" w14:textId="5EE4D03A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</w:tr>
      <w:tr w:rsidR="009F5F1F" w:rsidRPr="00C04964" w14:paraId="17231823" w14:textId="77777777" w:rsidTr="00E777E8">
        <w:tc>
          <w:tcPr>
            <w:tcW w:w="4644" w:type="dxa"/>
            <w:shd w:val="clear" w:color="auto" w:fill="FFF2CC" w:themeFill="accent4" w:themeFillTint="33"/>
            <w:vAlign w:val="center"/>
          </w:tcPr>
          <w:p w14:paraId="2B03C64C" w14:textId="77777777" w:rsidR="009F5F1F" w:rsidRPr="00C04964" w:rsidRDefault="009F5F1F" w:rsidP="00E777E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1.2.1.2 Uspostava uprava za izvršenje krivičnih sankcija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581EE66" w14:textId="6BCF3667" w:rsidR="009F5F1F" w:rsidRPr="00C04964" w:rsidRDefault="009F5F1F" w:rsidP="00E777E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CA6043C" w14:textId="0A8CA33F" w:rsidR="009F5F1F" w:rsidRPr="00C04964" w:rsidRDefault="00C04964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22F001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A2C4CD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E1534E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1CE365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</w:tr>
      <w:tr w:rsidR="009F5F1F" w:rsidRPr="00C04964" w14:paraId="2337E56B" w14:textId="77777777" w:rsidTr="00E777E8">
        <w:tc>
          <w:tcPr>
            <w:tcW w:w="4644" w:type="dxa"/>
            <w:shd w:val="clear" w:color="auto" w:fill="FFF2CC" w:themeFill="accent4" w:themeFillTint="33"/>
            <w:vAlign w:val="center"/>
          </w:tcPr>
          <w:p w14:paraId="0D9B9B9F" w14:textId="77777777" w:rsidR="009F5F1F" w:rsidRPr="00C04964" w:rsidRDefault="009F5F1F" w:rsidP="00E777E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1.2.1.3 </w:t>
            </w:r>
            <w:r w:rsidR="003E0E4A"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</w:t>
            </w: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sistema za prikupljanje podataka o izvršenju krivičnih sankcija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A9FAED5" w14:textId="0766EF94" w:rsidR="009F5F1F" w:rsidRPr="00C04964" w:rsidRDefault="009F5F1F" w:rsidP="00E777E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 i propisi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A78584F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8B1BD1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CD5EC4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778152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310F6F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4</w:t>
            </w:r>
          </w:p>
        </w:tc>
      </w:tr>
      <w:tr w:rsidR="009F5F1F" w:rsidRPr="00C04964" w14:paraId="79715E6B" w14:textId="77777777" w:rsidTr="00E777E8">
        <w:tc>
          <w:tcPr>
            <w:tcW w:w="4644" w:type="dxa"/>
            <w:vMerge w:val="restart"/>
            <w:shd w:val="clear" w:color="auto" w:fill="FFF2CC" w:themeFill="accent4" w:themeFillTint="33"/>
            <w:vAlign w:val="center"/>
          </w:tcPr>
          <w:p w14:paraId="0967E236" w14:textId="77777777" w:rsidR="009F5F1F" w:rsidRPr="00C04964" w:rsidRDefault="009F5F1F" w:rsidP="00E777E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1.2.1.4 Unapređenje zavodske infrastrukture i uslova u zavodima u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EBB9564" w14:textId="4FA008DA" w:rsidR="009F5F1F" w:rsidRPr="00C04964" w:rsidRDefault="00F340F6" w:rsidP="00E777E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Prijedlog o</w:t>
            </w:r>
            <w:r w:rsid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dluke o početku rada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88294F0" w14:textId="74B3F6CB" w:rsidR="009F5F1F" w:rsidRPr="00C04964" w:rsidRDefault="00C04964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033788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Zakon o osnivanju Zavoda za IKS, pritvora i drugih mjera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B26508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Izrađena Odluka i upućena na usvajanje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18C9D9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9702A3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/</w:t>
            </w:r>
          </w:p>
        </w:tc>
      </w:tr>
      <w:tr w:rsidR="009F5F1F" w:rsidRPr="00C04964" w14:paraId="1DC54015" w14:textId="77777777" w:rsidTr="00E777E8">
        <w:tc>
          <w:tcPr>
            <w:tcW w:w="4644" w:type="dxa"/>
            <w:vMerge/>
            <w:shd w:val="clear" w:color="auto" w:fill="FFF2CC" w:themeFill="accent4" w:themeFillTint="33"/>
            <w:vAlign w:val="center"/>
          </w:tcPr>
          <w:p w14:paraId="53128261" w14:textId="77777777" w:rsidR="009F5F1F" w:rsidRPr="00C04964" w:rsidRDefault="009F5F1F" w:rsidP="00E777E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93E99CA" w14:textId="2B600B8A" w:rsidR="009F5F1F" w:rsidRPr="00C04964" w:rsidRDefault="00E777E8" w:rsidP="00E777E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Primopredaja objekta zatvora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6A64E98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D76DAF" w14:textId="3610EC8A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Jedinica za </w:t>
            </w:r>
            <w:r w:rsid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provođenje</w:t>
            </w: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projekta izvodi radove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BC33AA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Zaprimljen objekt zatvora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3DEBA9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40D498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/</w:t>
            </w:r>
          </w:p>
        </w:tc>
      </w:tr>
      <w:tr w:rsidR="009F5F1F" w:rsidRPr="00C04964" w14:paraId="30E2582A" w14:textId="77777777" w:rsidTr="00E777E8">
        <w:tc>
          <w:tcPr>
            <w:tcW w:w="4644" w:type="dxa"/>
            <w:vMerge/>
            <w:shd w:val="clear" w:color="auto" w:fill="FFF2CC" w:themeFill="accent4" w:themeFillTint="33"/>
            <w:vAlign w:val="center"/>
          </w:tcPr>
          <w:p w14:paraId="62486C05" w14:textId="77777777" w:rsidR="009F5F1F" w:rsidRPr="00C04964" w:rsidRDefault="009F5F1F" w:rsidP="00E777E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5572F0D" w14:textId="624ABCC1" w:rsidR="009F5F1F" w:rsidRPr="00C04964" w:rsidRDefault="00F340F6" w:rsidP="00E777E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Prijedlog p</w:t>
            </w:r>
            <w:r w:rsidR="009F5F1F"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ravilnika o unutrašnj</w:t>
            </w:r>
            <w:r w:rsidR="003E0E4A"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oj organizaciji</w:t>
            </w:r>
            <w:r w:rsidR="009F5F1F"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Zavoda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2757626" w14:textId="6F76527A" w:rsidR="009F5F1F" w:rsidRPr="00C04964" w:rsidRDefault="00C04964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F366DE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Zakon o osnivanju Zavoda za IKS, pritvora i drugih mjera BiH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56E2E3" w14:textId="4C9C5237" w:rsidR="009F5F1F" w:rsidRPr="00C04964" w:rsidRDefault="00F340F6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 P</w:t>
            </w:r>
            <w:r w:rsidR="003E0E4A"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ravilnik o unutrašnjoj organizaciji</w:t>
            </w:r>
            <w:r w:rsidR="009F5F1F"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Zavoda i upućen na usvajanje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64F08B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F1B20C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/</w:t>
            </w:r>
          </w:p>
        </w:tc>
      </w:tr>
      <w:tr w:rsidR="009F5F1F" w:rsidRPr="00C04964" w14:paraId="677747E1" w14:textId="77777777" w:rsidTr="00E777E8">
        <w:tc>
          <w:tcPr>
            <w:tcW w:w="4644" w:type="dxa"/>
            <w:shd w:val="clear" w:color="auto" w:fill="FFF2CC" w:themeFill="accent4" w:themeFillTint="33"/>
            <w:vAlign w:val="center"/>
          </w:tcPr>
          <w:p w14:paraId="50E0D3AC" w14:textId="6CE5D89A" w:rsidR="009F5F1F" w:rsidRPr="00C04964" w:rsidRDefault="009F5F1F" w:rsidP="00E777E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1.2.1.5 Sistematiziranje i provođenje obuka zavodskih </w:t>
            </w:r>
            <w:r w:rsidR="00DC0AA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osoba</w:t>
            </w: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6A5ECAF" w14:textId="77777777" w:rsidR="009F5F1F" w:rsidRPr="00C04964" w:rsidRDefault="009F5F1F" w:rsidP="00E777E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Certifikat obuka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B31D552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15873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Izrađeni priručnici i programi obuke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B91A3B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Svi su prošli osnovnu i najmanje 30% specijalističke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D92D6D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Svi su prošli osnovnu i najmanje 70% specijalističke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CC7EFF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Svi su prošli osnovnu i specijalističku obuku</w:t>
            </w:r>
          </w:p>
        </w:tc>
      </w:tr>
      <w:tr w:rsidR="009F5F1F" w:rsidRPr="00C04964" w14:paraId="198D252D" w14:textId="77777777" w:rsidTr="00E777E8">
        <w:tc>
          <w:tcPr>
            <w:tcW w:w="4644" w:type="dxa"/>
            <w:shd w:val="clear" w:color="auto" w:fill="FFF2CC" w:themeFill="accent4" w:themeFillTint="33"/>
            <w:vAlign w:val="center"/>
          </w:tcPr>
          <w:p w14:paraId="35DA25A6" w14:textId="77777777" w:rsidR="009F5F1F" w:rsidRPr="00C04964" w:rsidRDefault="009F5F1F" w:rsidP="00E777E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1.2.1.6 </w:t>
            </w:r>
            <w:r w:rsidR="003E0E4A"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</w:t>
            </w: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sistema zdravstvene zaštite za osuđenike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3371667" w14:textId="77777777" w:rsidR="009F5F1F" w:rsidRPr="00C04964" w:rsidRDefault="009F5F1F" w:rsidP="00E777E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Sporazum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21F62AA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CFFC76" w14:textId="10DD01AF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 je okvirni plan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764C43" w14:textId="09964E40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 je sporazum i dogovorena sredstva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068161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Sporazu</w:t>
            </w:r>
            <w:r w:rsidR="003E0E4A"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 je potpisan i sredstva su osi</w:t>
            </w: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gurana te se plan provodi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FFDC31" w14:textId="77777777" w:rsidR="009F5F1F" w:rsidRPr="00C04964" w:rsidRDefault="009F5F1F" w:rsidP="00E777E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C0496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Okvirni plan se provodi</w:t>
            </w:r>
          </w:p>
        </w:tc>
      </w:tr>
    </w:tbl>
    <w:p w14:paraId="4101652C" w14:textId="77777777" w:rsidR="009F5F1F" w:rsidRPr="00C77FF0" w:rsidRDefault="009F5F1F" w:rsidP="009F5F1F">
      <w:pPr>
        <w:rPr>
          <w:rFonts w:ascii="Times New Roman" w:hAnsi="Times New Roman" w:cs="Times New Roman"/>
          <w:sz w:val="24"/>
          <w:szCs w:val="24"/>
        </w:rPr>
      </w:pPr>
      <w:r w:rsidRPr="00C77FF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1"/>
        <w:tblpPr w:leftFromText="180" w:rightFromText="180" w:vertAnchor="text" w:horzAnchor="margin" w:tblpX="-39" w:tblpY="137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4644"/>
        <w:gridCol w:w="1276"/>
        <w:gridCol w:w="992"/>
        <w:gridCol w:w="1418"/>
        <w:gridCol w:w="1843"/>
        <w:gridCol w:w="1984"/>
        <w:gridCol w:w="2126"/>
      </w:tblGrid>
      <w:tr w:rsidR="006A7790" w:rsidRPr="00E777E8" w14:paraId="451679FC" w14:textId="77777777" w:rsidTr="006A7790">
        <w:tc>
          <w:tcPr>
            <w:tcW w:w="4644" w:type="dxa"/>
            <w:shd w:val="clear" w:color="auto" w:fill="44546A" w:themeFill="text2"/>
            <w:vAlign w:val="center"/>
          </w:tcPr>
          <w:p w14:paraId="5E8021D2" w14:textId="77777777" w:rsidR="009F5F1F" w:rsidRPr="00E777E8" w:rsidRDefault="009F5F1F" w:rsidP="006A779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lastRenderedPageBreak/>
              <w:t>Projekti</w:t>
            </w:r>
          </w:p>
          <w:p w14:paraId="523F7EF9" w14:textId="77777777" w:rsidR="009F5F1F" w:rsidRPr="00E777E8" w:rsidRDefault="009F5F1F" w:rsidP="006A779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Programa 1.2.2</w:t>
            </w:r>
          </w:p>
          <w:p w14:paraId="3AD2569D" w14:textId="77777777" w:rsidR="009F5F1F" w:rsidRPr="00E777E8" w:rsidRDefault="009F5F1F" w:rsidP="006A77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Unapređenje primjene alternativnih sankcija u BiH</w:t>
            </w:r>
          </w:p>
        </w:tc>
        <w:tc>
          <w:tcPr>
            <w:tcW w:w="1276" w:type="dxa"/>
            <w:shd w:val="clear" w:color="auto" w:fill="44546A" w:themeFill="text2"/>
            <w:vAlign w:val="center"/>
          </w:tcPr>
          <w:p w14:paraId="021C3988" w14:textId="77777777" w:rsidR="009F5F1F" w:rsidRPr="00E777E8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Pokazatelj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6D760612" w14:textId="77777777" w:rsidR="009F5F1F" w:rsidRPr="00E777E8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Jedinica</w:t>
            </w:r>
          </w:p>
          <w:p w14:paraId="058BF624" w14:textId="77777777" w:rsidR="009F5F1F" w:rsidRPr="00E777E8" w:rsidRDefault="009F5F1F" w:rsidP="006A7790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mjerenja</w:t>
            </w:r>
          </w:p>
        </w:tc>
        <w:tc>
          <w:tcPr>
            <w:tcW w:w="1418" w:type="dxa"/>
            <w:shd w:val="clear" w:color="auto" w:fill="44546A" w:themeFill="text2"/>
            <w:vAlign w:val="center"/>
          </w:tcPr>
          <w:p w14:paraId="0F6B6B6F" w14:textId="5E40A8E7" w:rsidR="009F5F1F" w:rsidRPr="00E777E8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2015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  <w:p w14:paraId="27A9FC13" w14:textId="77777777" w:rsidR="009F5F1F" w:rsidRPr="00E777E8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Polazna vrijednost</w:t>
            </w:r>
          </w:p>
        </w:tc>
        <w:tc>
          <w:tcPr>
            <w:tcW w:w="1843" w:type="dxa"/>
            <w:shd w:val="clear" w:color="auto" w:fill="44546A" w:themeFill="text2"/>
            <w:vAlign w:val="center"/>
          </w:tcPr>
          <w:p w14:paraId="011B1E8E" w14:textId="719C98DB" w:rsidR="009F5F1F" w:rsidRPr="00E777E8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2016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1984" w:type="dxa"/>
            <w:shd w:val="clear" w:color="auto" w:fill="44546A" w:themeFill="text2"/>
            <w:vAlign w:val="center"/>
          </w:tcPr>
          <w:p w14:paraId="5913F893" w14:textId="1FA0FBD4" w:rsidR="009F5F1F" w:rsidRPr="00E777E8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2017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2126" w:type="dxa"/>
            <w:shd w:val="clear" w:color="auto" w:fill="44546A" w:themeFill="text2"/>
            <w:vAlign w:val="center"/>
          </w:tcPr>
          <w:p w14:paraId="17754A79" w14:textId="7DE9A7A3" w:rsidR="009F5F1F" w:rsidRPr="00E777E8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2018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</w:tr>
      <w:tr w:rsidR="009F5F1F" w:rsidRPr="00E777E8" w14:paraId="0082CE2F" w14:textId="77777777" w:rsidTr="006A7790">
        <w:trPr>
          <w:trHeight w:val="297"/>
        </w:trPr>
        <w:tc>
          <w:tcPr>
            <w:tcW w:w="4644" w:type="dxa"/>
            <w:shd w:val="clear" w:color="auto" w:fill="FFF2CC" w:themeFill="accent4" w:themeFillTint="33"/>
            <w:vAlign w:val="center"/>
          </w:tcPr>
          <w:p w14:paraId="328BEA21" w14:textId="77777777" w:rsidR="009F5F1F" w:rsidRPr="00E777E8" w:rsidRDefault="009F5F1F" w:rsidP="006A7790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1.2.2.1 Osiguranje primjene rada za opće dobro na slobodi za punoljetne i maloljetne osuđenike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9E04B23" w14:textId="77777777" w:rsidR="009F5F1F" w:rsidRPr="00E777E8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Statistička evidencija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231132E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6E9683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Ne postoji sistemska evidencija praćenja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69A657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Uvedena je funkcija praćenja i zaposlen kadar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DD6209" w14:textId="1F7608DF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Sistemski se prat</w:t>
            </w:r>
            <w:r w:rsid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primjena instituta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F2DF3A" w14:textId="26B44F5F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Sistemski se prat</w:t>
            </w:r>
            <w:r w:rsid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primjena instituta</w:t>
            </w:r>
          </w:p>
        </w:tc>
      </w:tr>
      <w:tr w:rsidR="009F5F1F" w:rsidRPr="00E777E8" w14:paraId="79A13464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78FC6177" w14:textId="77777777" w:rsidR="009F5F1F" w:rsidRPr="00E777E8" w:rsidRDefault="009F5F1F" w:rsidP="006A7790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1.2.2.2 </w:t>
            </w:r>
            <w:r w:rsidR="003E0E4A"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</w:t>
            </w: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provođenja uslovnog otpusta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D56CAFF" w14:textId="77777777" w:rsidR="009F5F1F" w:rsidRPr="00E777E8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Statistička evidencija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F28BC8B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3B88E0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Ne postoji sistemska evidencija praćenja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874F64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Uvedena je funkcija praćenja i zaposlen kadar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11328B" w14:textId="0E3F1FD1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Sistemski se prat</w:t>
            </w:r>
            <w:r w:rsid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primjena instituta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5A3DFB" w14:textId="6E55BD0F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Sistemski se prat</w:t>
            </w:r>
            <w:r w:rsid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primjena instituta</w:t>
            </w:r>
          </w:p>
        </w:tc>
      </w:tr>
      <w:tr w:rsidR="009F5F1F" w:rsidRPr="00E777E8" w14:paraId="71D6ADC0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601E30DC" w14:textId="77777777" w:rsidR="009F5F1F" w:rsidRPr="00E777E8" w:rsidRDefault="009F5F1F" w:rsidP="006A7790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1.2.2.3 </w:t>
            </w:r>
            <w:r w:rsidR="003E0E4A"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</w:t>
            </w: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postupka pomilovanja u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1F5D676" w14:textId="1081DF6E" w:rsidR="009F5F1F" w:rsidRPr="00E777E8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F276B2E" w14:textId="6B955231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7EFE02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36E3D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BD66DB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2C853A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</w:tr>
      <w:tr w:rsidR="009F5F1F" w:rsidRPr="00E777E8" w14:paraId="4B3D1E5C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4B4368B8" w14:textId="77777777" w:rsidR="009F5F1F" w:rsidRPr="00E777E8" w:rsidRDefault="009F5F1F" w:rsidP="006A7790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1.2.2.4 Uspostava probacijske službe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3BEEAF5" w14:textId="6165471D" w:rsidR="009F5F1F" w:rsidRPr="00E777E8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C910DC5" w14:textId="5A7F205A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113584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9FAAB8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E8AC5C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F14E3C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</w:tr>
      <w:tr w:rsidR="00E777E8" w:rsidRPr="00E777E8" w14:paraId="03995EC4" w14:textId="77777777" w:rsidTr="006A7790">
        <w:tc>
          <w:tcPr>
            <w:tcW w:w="4644" w:type="dxa"/>
            <w:shd w:val="clear" w:color="auto" w:fill="44546A" w:themeFill="text2"/>
            <w:vAlign w:val="center"/>
          </w:tcPr>
          <w:p w14:paraId="389C5C90" w14:textId="77777777" w:rsidR="009F5F1F" w:rsidRPr="00E777E8" w:rsidRDefault="009F5F1F" w:rsidP="006A779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Projekti</w:t>
            </w:r>
          </w:p>
          <w:p w14:paraId="46FF4054" w14:textId="77777777" w:rsidR="009F5F1F" w:rsidRPr="00E777E8" w:rsidRDefault="009F5F1F" w:rsidP="006A779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Programa 1.2.3</w:t>
            </w:r>
          </w:p>
          <w:p w14:paraId="6F43F7FF" w14:textId="77777777" w:rsidR="009F5F1F" w:rsidRPr="00E777E8" w:rsidRDefault="009F5F1F" w:rsidP="006A77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Unapređenje primjene međunarodnih standarda</w:t>
            </w:r>
          </w:p>
        </w:tc>
        <w:tc>
          <w:tcPr>
            <w:tcW w:w="1276" w:type="dxa"/>
            <w:shd w:val="clear" w:color="auto" w:fill="44546A" w:themeFill="text2"/>
            <w:vAlign w:val="center"/>
          </w:tcPr>
          <w:p w14:paraId="6CA85441" w14:textId="77777777" w:rsidR="009F5F1F" w:rsidRPr="00E777E8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Pokazatelj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6CA7B1B2" w14:textId="77777777" w:rsidR="009F5F1F" w:rsidRPr="00E777E8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Jedinica</w:t>
            </w:r>
          </w:p>
          <w:p w14:paraId="2ADADA32" w14:textId="77777777" w:rsidR="009F5F1F" w:rsidRPr="00E777E8" w:rsidRDefault="009F5F1F" w:rsidP="006A7790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mjerenja</w:t>
            </w:r>
          </w:p>
        </w:tc>
        <w:tc>
          <w:tcPr>
            <w:tcW w:w="1418" w:type="dxa"/>
            <w:shd w:val="clear" w:color="auto" w:fill="44546A" w:themeFill="text2"/>
            <w:vAlign w:val="center"/>
          </w:tcPr>
          <w:p w14:paraId="1860A3BE" w14:textId="07D11E31" w:rsidR="009F5F1F" w:rsidRPr="00E777E8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2015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  <w:p w14:paraId="2DF2E28E" w14:textId="77777777" w:rsidR="009F5F1F" w:rsidRPr="00E777E8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Polazna vrijednost</w:t>
            </w:r>
          </w:p>
        </w:tc>
        <w:tc>
          <w:tcPr>
            <w:tcW w:w="1843" w:type="dxa"/>
            <w:shd w:val="clear" w:color="auto" w:fill="44546A" w:themeFill="text2"/>
            <w:vAlign w:val="center"/>
          </w:tcPr>
          <w:p w14:paraId="06D0AFF4" w14:textId="7C7FE895" w:rsidR="009F5F1F" w:rsidRPr="00E777E8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2016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1984" w:type="dxa"/>
            <w:shd w:val="clear" w:color="auto" w:fill="44546A" w:themeFill="text2"/>
            <w:vAlign w:val="center"/>
          </w:tcPr>
          <w:p w14:paraId="23203F1C" w14:textId="520A9177" w:rsidR="009F5F1F" w:rsidRPr="00E777E8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2017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2126" w:type="dxa"/>
            <w:shd w:val="clear" w:color="auto" w:fill="44546A" w:themeFill="text2"/>
            <w:vAlign w:val="center"/>
          </w:tcPr>
          <w:p w14:paraId="46C0E60D" w14:textId="7A7B6D4D" w:rsidR="009F5F1F" w:rsidRPr="00E777E8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2018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</w:tr>
      <w:tr w:rsidR="009F5F1F" w:rsidRPr="00E777E8" w14:paraId="3E3233CF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19D9EEBC" w14:textId="77777777" w:rsidR="009F5F1F" w:rsidRPr="00E777E8" w:rsidRDefault="009F5F1F" w:rsidP="006A7790">
            <w:pPr>
              <w:spacing w:before="60" w:after="60"/>
              <w:ind w:left="1" w:right="27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1.2.3.1 </w:t>
            </w:r>
            <w:r w:rsidR="003E0E4A"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</w:t>
            </w: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uslova boravka u pritvoru i postupanja prema pritvorenim licima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C29A551" w14:textId="056620AB" w:rsidR="009F5F1F" w:rsidRPr="00E777E8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35FBCBD" w14:textId="331B0A35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5D2414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D9363B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5E67BA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9056E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9F5F1F" w:rsidRPr="00E777E8" w14:paraId="1CA421C7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107601E8" w14:textId="77777777" w:rsidR="009F5F1F" w:rsidRPr="00E777E8" w:rsidRDefault="009F5F1F" w:rsidP="006A7790">
            <w:pPr>
              <w:spacing w:before="60" w:after="60"/>
              <w:ind w:left="1" w:right="27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1.2.3.2 </w:t>
            </w:r>
            <w:r w:rsidR="003E0E4A"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</w:t>
            </w: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tretmana osuđeničke populacije i stvaranje pretpostavki za prilagođen tretman maloljetnih osuđenika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0AD7089" w14:textId="3A0000A3" w:rsidR="009F5F1F" w:rsidRPr="00E777E8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A486E5C" w14:textId="2F635651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5F18D4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AB7477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7C039E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99C43A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9F5F1F" w:rsidRPr="00E777E8" w14:paraId="71E15ADF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79C76423" w14:textId="77777777" w:rsidR="009F5F1F" w:rsidRPr="00E777E8" w:rsidRDefault="009F5F1F" w:rsidP="006A7790">
            <w:pPr>
              <w:spacing w:before="60" w:after="60"/>
              <w:ind w:left="1" w:right="27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1.2.3.3 Stavljanje u funkciju Psihijatrijske klinike na Sokocu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793A2A7" w14:textId="2D252FC1" w:rsidR="009F5F1F" w:rsidRPr="00E777E8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703B6FB" w14:textId="10F32AB5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32D521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50080F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0B3AD0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DBEF00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9F5F1F" w:rsidRPr="00E777E8" w14:paraId="664C8A01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55EB8290" w14:textId="77777777" w:rsidR="009F5F1F" w:rsidRPr="00E777E8" w:rsidRDefault="009F5F1F" w:rsidP="006A7790">
            <w:pPr>
              <w:spacing w:before="60" w:after="60"/>
              <w:ind w:left="1" w:right="27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1.2.3.4 Provođenje inspekcijskog nadzora postupanja sa zatvorenicima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1A21832" w14:textId="06A5BDFB" w:rsidR="009F5F1F" w:rsidRPr="00E777E8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8041BDB" w14:textId="5BBA2DF4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965A47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822790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3B884B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777E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61D779" w14:textId="77777777" w:rsidR="009F5F1F" w:rsidRPr="00E777E8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</w:tbl>
    <w:p w14:paraId="3CF2D8B6" w14:textId="77777777" w:rsidR="009F5F1F" w:rsidRPr="00C77FF0" w:rsidRDefault="009F5F1F" w:rsidP="009F5F1F">
      <w:pPr>
        <w:rPr>
          <w:rFonts w:ascii="Times New Roman" w:hAnsi="Times New Roman" w:cs="Times New Roman"/>
          <w:sz w:val="24"/>
          <w:szCs w:val="24"/>
        </w:rPr>
      </w:pPr>
      <w:r w:rsidRPr="00C77FF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1"/>
        <w:tblpPr w:leftFromText="180" w:rightFromText="180" w:vertAnchor="text" w:horzAnchor="margin" w:tblpX="-39" w:tblpY="137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4644"/>
        <w:gridCol w:w="1276"/>
        <w:gridCol w:w="992"/>
        <w:gridCol w:w="1418"/>
        <w:gridCol w:w="1843"/>
        <w:gridCol w:w="1984"/>
        <w:gridCol w:w="2126"/>
      </w:tblGrid>
      <w:tr w:rsidR="006A7790" w:rsidRPr="006A7790" w14:paraId="0CE224AC" w14:textId="77777777" w:rsidTr="006A7790">
        <w:tc>
          <w:tcPr>
            <w:tcW w:w="4644" w:type="dxa"/>
            <w:shd w:val="clear" w:color="auto" w:fill="44546A" w:themeFill="text2"/>
            <w:vAlign w:val="center"/>
          </w:tcPr>
          <w:p w14:paraId="7270628F" w14:textId="77777777" w:rsidR="009F5F1F" w:rsidRPr="006A7790" w:rsidRDefault="009F5F1F" w:rsidP="006A779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lastRenderedPageBreak/>
              <w:t xml:space="preserve">Projekti </w:t>
            </w:r>
            <w:r w:rsidRPr="006A779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vertAlign w:val="superscript"/>
                <w:lang w:val="bs-Latn-BA"/>
              </w:rPr>
              <w:footnoteReference w:id="10"/>
            </w:r>
          </w:p>
          <w:p w14:paraId="6269E1BC" w14:textId="77777777" w:rsidR="009F5F1F" w:rsidRPr="006A7790" w:rsidRDefault="009F5F1F" w:rsidP="006A779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Programa 1.3.1</w:t>
            </w:r>
            <w:r w:rsidRPr="006A779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vertAlign w:val="superscript"/>
                <w:lang w:val="bs-Latn-BA"/>
              </w:rPr>
              <w:footnoteReference w:id="11"/>
            </w:r>
          </w:p>
          <w:p w14:paraId="744C6DAD" w14:textId="77777777" w:rsidR="009F5F1F" w:rsidRPr="006A7790" w:rsidRDefault="009F5F1F" w:rsidP="006A779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Pružanje međunarodne pravne pomoći MPP</w:t>
            </w:r>
          </w:p>
        </w:tc>
        <w:tc>
          <w:tcPr>
            <w:tcW w:w="1276" w:type="dxa"/>
            <w:shd w:val="clear" w:color="auto" w:fill="44546A" w:themeFill="text2"/>
            <w:vAlign w:val="center"/>
          </w:tcPr>
          <w:p w14:paraId="209334A7" w14:textId="77777777" w:rsidR="009F5F1F" w:rsidRPr="006A7790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Pokazatelj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71C73871" w14:textId="77777777" w:rsidR="009F5F1F" w:rsidRPr="006A7790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Jedinica</w:t>
            </w:r>
          </w:p>
          <w:p w14:paraId="77F41DA7" w14:textId="77777777" w:rsidR="009F5F1F" w:rsidRPr="006A7790" w:rsidRDefault="009F5F1F" w:rsidP="006A7790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mjerenja</w:t>
            </w:r>
          </w:p>
        </w:tc>
        <w:tc>
          <w:tcPr>
            <w:tcW w:w="1418" w:type="dxa"/>
            <w:shd w:val="clear" w:color="auto" w:fill="44546A" w:themeFill="text2"/>
            <w:vAlign w:val="center"/>
          </w:tcPr>
          <w:p w14:paraId="39606056" w14:textId="3445B80D" w:rsidR="009F5F1F" w:rsidRPr="006A7790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2015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  <w:p w14:paraId="2BD9109F" w14:textId="77777777" w:rsidR="009F5F1F" w:rsidRPr="006A7790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Polazna vrijednost</w:t>
            </w:r>
          </w:p>
        </w:tc>
        <w:tc>
          <w:tcPr>
            <w:tcW w:w="1843" w:type="dxa"/>
            <w:shd w:val="clear" w:color="auto" w:fill="44546A" w:themeFill="text2"/>
            <w:vAlign w:val="center"/>
          </w:tcPr>
          <w:p w14:paraId="56CB278F" w14:textId="71B2890F" w:rsidR="009F5F1F" w:rsidRPr="006A7790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2016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1984" w:type="dxa"/>
            <w:shd w:val="clear" w:color="auto" w:fill="44546A" w:themeFill="text2"/>
            <w:vAlign w:val="center"/>
          </w:tcPr>
          <w:p w14:paraId="675776CF" w14:textId="69410972" w:rsidR="009F5F1F" w:rsidRPr="006A7790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2017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2126" w:type="dxa"/>
            <w:shd w:val="clear" w:color="auto" w:fill="44546A" w:themeFill="text2"/>
            <w:vAlign w:val="center"/>
          </w:tcPr>
          <w:p w14:paraId="4BB158A6" w14:textId="7F144422" w:rsidR="009F5F1F" w:rsidRPr="006A7790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2018</w:t>
            </w:r>
            <w:r w:rsidR="006A779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</w:tr>
      <w:tr w:rsidR="009F5F1F" w:rsidRPr="006A7790" w14:paraId="51362382" w14:textId="77777777" w:rsidTr="006A7790">
        <w:trPr>
          <w:trHeight w:val="297"/>
        </w:trPr>
        <w:tc>
          <w:tcPr>
            <w:tcW w:w="4644" w:type="dxa"/>
            <w:shd w:val="clear" w:color="auto" w:fill="FFF2CC" w:themeFill="accent4" w:themeFillTint="33"/>
            <w:vAlign w:val="center"/>
          </w:tcPr>
          <w:p w14:paraId="14E2E308" w14:textId="77777777" w:rsidR="009F5F1F" w:rsidRPr="006A7790" w:rsidRDefault="009F5F1F" w:rsidP="006A7790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1.3.1.1 Pružanje MPP u krivičnim i građanskim stvarima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1569FD6" w14:textId="5B339C92" w:rsidR="009F5F1F" w:rsidRPr="006A7790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3D4E417" w14:textId="5E37F335" w:rsidR="009F5F1F" w:rsidRPr="006A7790" w:rsidRDefault="006A7790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05B8A2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2176D0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1ED14B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A90BE3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</w:tr>
      <w:tr w:rsidR="009F5F1F" w:rsidRPr="006A7790" w14:paraId="433E1B94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028A0D6F" w14:textId="77777777" w:rsidR="009F5F1F" w:rsidRPr="006A7790" w:rsidRDefault="009F5F1F" w:rsidP="006A7790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1.3.1.2 Održavanje seminara i konsultacija za državne službenike koji pružaju MPP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98DED1D" w14:textId="77777777" w:rsidR="009F5F1F" w:rsidRPr="006A7790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Obuka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41D02DA" w14:textId="1FAA16A6" w:rsidR="009F5F1F" w:rsidRPr="006A7790" w:rsidRDefault="006A7790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31F93F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3E22B7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484B98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29BE50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</w:tr>
      <w:tr w:rsidR="009F5F1F" w:rsidRPr="006A7790" w14:paraId="0731AAF3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7BB27478" w14:textId="7023F66E" w:rsidR="009F5F1F" w:rsidRPr="006A7790" w:rsidRDefault="7C1D1F8F" w:rsidP="006A7790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1.3.1.3 Izrada analize o stanju u oblasti postupanja u predmetima MPP, radi unapređenja pružanja MPP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79199" w14:textId="77777777" w:rsidR="009F5F1F" w:rsidRPr="006A7790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Analiza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BCE9B6F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38C323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Informacija o postupanju u predmetima MPP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9B8266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Definisane preporuke kojim se unapređuje pružanje MPP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DB17CF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Akcioni plan se provodi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43D71B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Akcioni plan se provodi</w:t>
            </w:r>
          </w:p>
        </w:tc>
      </w:tr>
      <w:tr w:rsidR="009F5F1F" w:rsidRPr="006A7790" w14:paraId="514052B7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382BE4CD" w14:textId="77777777" w:rsidR="009F5F1F" w:rsidRPr="006A7790" w:rsidRDefault="009F5F1F" w:rsidP="006A7790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1.3.1.4 Dogradnja sistema elektronske pisarnice MP BiH (OWIS)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B799A60" w14:textId="77777777" w:rsidR="009F5F1F" w:rsidRPr="006A7790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OWIS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2E49C18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3CEC51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Postojeći OWIS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CA3B08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Sastavljen projektni plan i osigurana sredstva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700D4C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Izvršena nadogradnja i priručnik upotrebe kroz održane mentorske obuke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3C8595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Završen period testiranja i izrađen izvještaj koji je verifikovan</w:t>
            </w:r>
          </w:p>
        </w:tc>
      </w:tr>
      <w:tr w:rsidR="009F5F1F" w:rsidRPr="006A7790" w14:paraId="4199F621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14D228F3" w14:textId="77777777" w:rsidR="009F5F1F" w:rsidRPr="006A7790" w:rsidRDefault="009F5F1F" w:rsidP="006A7790">
            <w:pPr>
              <w:spacing w:before="60" w:after="60"/>
              <w:ind w:left="1" w:right="27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1.3.1.5 Izrada i upućivanje u proceduru usvajanja Zakona o MPP u građanskim stvarima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B11B536" w14:textId="4F7AB2FD" w:rsidR="009F5F1F" w:rsidRPr="006A7790" w:rsidRDefault="00F340F6" w:rsidP="006A779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7B9A2AD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FD53F9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Izrađena analiza stanja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3D0776" w14:textId="3ADAEE1F" w:rsidR="009F5F1F" w:rsidRPr="006A7790" w:rsidRDefault="00F340F6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 upućen na usvajanje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D007B2" w14:textId="456E08EA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88CB40" w14:textId="5213242E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</w:tr>
      <w:tr w:rsidR="009F5F1F" w:rsidRPr="006A7790" w14:paraId="764A0D49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273DDCE7" w14:textId="77777777" w:rsidR="009F5F1F" w:rsidRPr="006A7790" w:rsidRDefault="009F5F1F" w:rsidP="006A7790">
            <w:pPr>
              <w:spacing w:before="60" w:after="60"/>
              <w:ind w:left="1" w:right="27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1.3.1.6 Izrada i upućivanje u proceduru usvajanja Zakona o rješavanju sukoba zakona s propisima drugih zemalja u određenim odnosima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327BAE9" w14:textId="502C91D8" w:rsidR="009F5F1F" w:rsidRPr="006A7790" w:rsidRDefault="00F340F6" w:rsidP="006A779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DD20490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9F8129" w14:textId="77777777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Izrađena analiza stanja u oblasti sukoba propisa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6FB924" w14:textId="70D2AFC8" w:rsidR="009F5F1F" w:rsidRPr="006A7790" w:rsidRDefault="00F340F6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 upućen na usvajanje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7C33BC" w14:textId="50C67E3E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7B3678" w14:textId="3767C069" w:rsidR="009F5F1F" w:rsidRPr="006A7790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</w:t>
            </w:r>
            <w:r w:rsidR="00C576C8"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provođenju</w:t>
            </w:r>
            <w:r w:rsidRPr="006A779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Zakona</w:t>
            </w:r>
          </w:p>
        </w:tc>
      </w:tr>
    </w:tbl>
    <w:p w14:paraId="0FB78278" w14:textId="77777777" w:rsidR="009F5F1F" w:rsidRPr="00C77FF0" w:rsidRDefault="009F5F1F" w:rsidP="009F5F1F">
      <w:pPr>
        <w:rPr>
          <w:rFonts w:ascii="Times New Roman" w:hAnsi="Times New Roman" w:cs="Times New Roman"/>
          <w:sz w:val="24"/>
          <w:szCs w:val="24"/>
        </w:rPr>
      </w:pPr>
      <w:r w:rsidRPr="00C77FF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1"/>
        <w:tblpPr w:leftFromText="180" w:rightFromText="180" w:vertAnchor="text" w:horzAnchor="margin" w:tblpX="-39" w:tblpY="137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4644"/>
        <w:gridCol w:w="1276"/>
        <w:gridCol w:w="992"/>
        <w:gridCol w:w="1418"/>
        <w:gridCol w:w="1843"/>
        <w:gridCol w:w="1984"/>
        <w:gridCol w:w="2126"/>
      </w:tblGrid>
      <w:tr w:rsidR="006A7790" w:rsidRPr="004F2C94" w14:paraId="4EB70516" w14:textId="77777777" w:rsidTr="006A7790">
        <w:tc>
          <w:tcPr>
            <w:tcW w:w="4644" w:type="dxa"/>
            <w:shd w:val="clear" w:color="auto" w:fill="44546A" w:themeFill="text2"/>
            <w:vAlign w:val="center"/>
          </w:tcPr>
          <w:p w14:paraId="742A432E" w14:textId="77777777" w:rsidR="009F5F1F" w:rsidRPr="004F2C94" w:rsidRDefault="009F5F1F" w:rsidP="006A779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  <w:lastRenderedPageBreak/>
              <w:t>Projekti</w:t>
            </w:r>
          </w:p>
          <w:p w14:paraId="45F203DE" w14:textId="77777777" w:rsidR="009F5F1F" w:rsidRPr="004F2C94" w:rsidRDefault="009F5F1F" w:rsidP="006A779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  <w:t>Programa 1.3.2</w:t>
            </w:r>
          </w:p>
          <w:p w14:paraId="41CF55A4" w14:textId="586EF90D" w:rsidR="009F5F1F" w:rsidRPr="004F2C94" w:rsidRDefault="006A7790" w:rsidP="006A779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  <w:t>Ratifikovanje</w:t>
            </w:r>
            <w:r w:rsidR="009F5F1F" w:rsidRPr="004F2C94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  <w:t xml:space="preserve"> konvencija, usklađivanje zakonodavstva i </w:t>
            </w:r>
            <w:r w:rsidRPr="004F2C94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  <w:t>zaključivanje</w:t>
            </w:r>
            <w:r w:rsidR="009F5F1F" w:rsidRPr="004F2C94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  <w:t xml:space="preserve"> ugovora</w:t>
            </w:r>
          </w:p>
        </w:tc>
        <w:tc>
          <w:tcPr>
            <w:tcW w:w="1276" w:type="dxa"/>
            <w:shd w:val="clear" w:color="auto" w:fill="44546A" w:themeFill="text2"/>
            <w:vAlign w:val="center"/>
          </w:tcPr>
          <w:p w14:paraId="7F6E809D" w14:textId="77777777" w:rsidR="009F5F1F" w:rsidRPr="004F2C94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Pokazatelj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133C6703" w14:textId="77777777" w:rsidR="009F5F1F" w:rsidRPr="004F2C94" w:rsidRDefault="009F5F1F" w:rsidP="006A7790">
            <w:pPr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Jedinica</w:t>
            </w:r>
          </w:p>
          <w:p w14:paraId="273531BF" w14:textId="77777777" w:rsidR="009F5F1F" w:rsidRPr="004F2C94" w:rsidRDefault="009F5F1F" w:rsidP="006A7790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mjerenja</w:t>
            </w:r>
          </w:p>
        </w:tc>
        <w:tc>
          <w:tcPr>
            <w:tcW w:w="1418" w:type="dxa"/>
            <w:shd w:val="clear" w:color="auto" w:fill="44546A" w:themeFill="text2"/>
            <w:vAlign w:val="center"/>
          </w:tcPr>
          <w:p w14:paraId="08451FBB" w14:textId="5DBB68E2" w:rsidR="009F5F1F" w:rsidRPr="004F2C94" w:rsidRDefault="009F5F1F" w:rsidP="006A7790">
            <w:pPr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2015</w:t>
            </w:r>
            <w:r w:rsidR="004F2C94" w:rsidRP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.</w:t>
            </w:r>
          </w:p>
          <w:p w14:paraId="481E87D5" w14:textId="77777777" w:rsidR="009F5F1F" w:rsidRPr="004F2C94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Polazna vrijednost</w:t>
            </w:r>
          </w:p>
        </w:tc>
        <w:tc>
          <w:tcPr>
            <w:tcW w:w="1843" w:type="dxa"/>
            <w:shd w:val="clear" w:color="auto" w:fill="44546A" w:themeFill="text2"/>
            <w:vAlign w:val="center"/>
          </w:tcPr>
          <w:p w14:paraId="1B02224E" w14:textId="79B39272" w:rsidR="009F5F1F" w:rsidRPr="004F2C94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2016</w:t>
            </w:r>
            <w:r w:rsidR="004F2C94" w:rsidRP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.</w:t>
            </w:r>
          </w:p>
        </w:tc>
        <w:tc>
          <w:tcPr>
            <w:tcW w:w="1984" w:type="dxa"/>
            <w:shd w:val="clear" w:color="auto" w:fill="44546A" w:themeFill="text2"/>
            <w:vAlign w:val="center"/>
          </w:tcPr>
          <w:p w14:paraId="1EAC3FFF" w14:textId="77777777" w:rsidR="009F5F1F" w:rsidRPr="004F2C94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2017</w:t>
            </w:r>
          </w:p>
        </w:tc>
        <w:tc>
          <w:tcPr>
            <w:tcW w:w="2126" w:type="dxa"/>
            <w:shd w:val="clear" w:color="auto" w:fill="44546A" w:themeFill="text2"/>
            <w:vAlign w:val="center"/>
          </w:tcPr>
          <w:p w14:paraId="7A2F7051" w14:textId="77777777" w:rsidR="009F5F1F" w:rsidRPr="004F2C94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2018</w:t>
            </w:r>
          </w:p>
        </w:tc>
      </w:tr>
      <w:tr w:rsidR="009F5F1F" w:rsidRPr="004F2C94" w14:paraId="71B357B9" w14:textId="77777777" w:rsidTr="006A7790">
        <w:trPr>
          <w:trHeight w:val="297"/>
        </w:trPr>
        <w:tc>
          <w:tcPr>
            <w:tcW w:w="4644" w:type="dxa"/>
            <w:shd w:val="clear" w:color="auto" w:fill="FFF2CC" w:themeFill="accent4" w:themeFillTint="33"/>
            <w:vAlign w:val="center"/>
          </w:tcPr>
          <w:p w14:paraId="3F469B99" w14:textId="77777777" w:rsidR="009F5F1F" w:rsidRPr="004F2C94" w:rsidRDefault="009F5F1F" w:rsidP="006A7790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1.3.2.1 Regionalna Konvencija o izvršenju sudskih odluka u građanskim stvarima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BD9F438" w14:textId="77777777" w:rsidR="009F5F1F" w:rsidRPr="004F2C94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Nacrt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91FCE41" w14:textId="4A474576" w:rsidR="009F5F1F" w:rsidRPr="004F2C94" w:rsidRDefault="004F2C94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39CE79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Lugano konvencija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0A7D2A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Obavljeni pregovori i definisan tekst RK koji je upućen u proceduru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C8C09C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Izrađena informacija o pristupanju i provođenju RK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ADFF15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Izrađena informacija o pristupanju i provođenju RK</w:t>
            </w:r>
          </w:p>
        </w:tc>
      </w:tr>
      <w:tr w:rsidR="009F5F1F" w:rsidRPr="004F2C94" w14:paraId="04650E79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2362D40F" w14:textId="77777777" w:rsidR="009F5F1F" w:rsidRPr="004F2C94" w:rsidRDefault="009F5F1F" w:rsidP="006A7790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1.3.2.2 IV Dodatni Protokol uz </w:t>
            </w:r>
            <w:r w:rsidR="00D667EE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Evropsku</w:t>
            </w: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konvenciju o ekstradiciji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80B0689" w14:textId="77777777" w:rsidR="009F5F1F" w:rsidRPr="004F2C94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Dodatni protokol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916192F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B6DF84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EK o ekstradiciji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D98D4D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Obavljeni pregovori i upućen u proceduru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6A008E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Izrađena informacija o pristupanju i provođenju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7F1653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Izrađena informacija o pristupanju i provođenju</w:t>
            </w:r>
          </w:p>
        </w:tc>
      </w:tr>
      <w:tr w:rsidR="009F5F1F" w:rsidRPr="004F2C94" w14:paraId="02B4A6C1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65BEC566" w14:textId="77777777" w:rsidR="009F5F1F" w:rsidRPr="004F2C94" w:rsidRDefault="009F5F1F" w:rsidP="006A7790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1.3.2.3 Ugovor o pristupanju BH EUROJUSTU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7528461" w14:textId="0A32DFF3" w:rsidR="009F5F1F" w:rsidRPr="004F2C94" w:rsidRDefault="00F340F6" w:rsidP="006A7790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Nacrt u</w:t>
            </w:r>
            <w:r w:rsidR="009F5F1F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govora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42872DC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4F19F" w14:textId="54A85F52" w:rsidR="009F5F1F" w:rsidRPr="004F2C94" w:rsidRDefault="00F340F6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Izrađen N</w:t>
            </w:r>
            <w:r w:rsidR="009F5F1F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acrt ugovora i upućen na </w:t>
            </w:r>
            <w:r w:rsidR="006A7790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ratifikovanje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CEBAB4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Izrađena informacija o pristupanju i provođenju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E2AB8E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Izrađena informacija o pristupanju i provođenju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69C8C2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Izrađena informacija o pristupanju i provođenju</w:t>
            </w:r>
          </w:p>
        </w:tc>
      </w:tr>
      <w:tr w:rsidR="009F5F1F" w:rsidRPr="004F2C94" w14:paraId="1876DE0C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65F039CD" w14:textId="77777777" w:rsidR="009F5F1F" w:rsidRPr="004F2C94" w:rsidRDefault="009F5F1F" w:rsidP="006A7790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1.3.2.4 Usklađivanje zakonodavstva BiH sa konvencijama iz oblasti MPP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66C2664" w14:textId="77777777" w:rsidR="009F5F1F" w:rsidRPr="004F2C94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Nivo usklađenosti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462C093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B72823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3B65F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525613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E73B84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100</w:t>
            </w:r>
          </w:p>
        </w:tc>
      </w:tr>
      <w:tr w:rsidR="009F5F1F" w:rsidRPr="004F2C94" w14:paraId="4AB5F903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202CCA3F" w14:textId="3BD0BAE6" w:rsidR="009F5F1F" w:rsidRPr="004F2C94" w:rsidRDefault="009F5F1F" w:rsidP="006A7790">
            <w:pPr>
              <w:spacing w:before="60" w:after="60"/>
              <w:ind w:left="1" w:right="27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1.3.2.5 </w:t>
            </w:r>
            <w:r w:rsidR="006A7790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Zaključivanje</w:t>
            </w: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ugovora između BiH i Republike Kazahstan o pravnoj pomoći u građanskim i privrednim stvarima</w:t>
            </w:r>
            <w:r w:rsidRPr="004F2C94">
              <w:rPr>
                <w:rStyle w:val="FootnoteReference"/>
                <w:rFonts w:ascii="Times New Roman" w:hAnsi="Times New Roman" w:cs="Times New Roman"/>
                <w:sz w:val="16"/>
                <w:szCs w:val="16"/>
                <w:lang w:val="bs-Latn-BA"/>
              </w:rPr>
              <w:footnoteReference w:id="12"/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FC39945" w14:textId="77777777" w:rsidR="009F5F1F" w:rsidRPr="004F2C94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562CB0E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CE0A41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EBF3C5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98A12B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46DB82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</w:p>
        </w:tc>
      </w:tr>
      <w:tr w:rsidR="009F5F1F" w:rsidRPr="004F2C94" w14:paraId="2B7E3B31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62F3265C" w14:textId="573E8E98" w:rsidR="009F5F1F" w:rsidRPr="004F2C94" w:rsidRDefault="009F5F1F" w:rsidP="006A7790">
            <w:pPr>
              <w:spacing w:before="60" w:after="60"/>
              <w:ind w:left="1" w:right="27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1.3.2.6 </w:t>
            </w:r>
            <w:r w:rsidR="006A7790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Zaključivanje</w:t>
            </w: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ugovora između BiH i Republike Turske o međusobnom izvršavanju sudskih odluka u krivičnim stvarima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9DD9F41" w14:textId="3ACBDC4A" w:rsidR="009F5F1F" w:rsidRPr="004F2C94" w:rsidRDefault="00F340F6" w:rsidP="006A7790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Nacrt u</w:t>
            </w:r>
            <w:r w:rsidR="009F5F1F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govora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271E687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3013E1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Obavljeni razgovori sa turskom stranom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F30981" w14:textId="02A2B039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</w:t>
            </w:r>
            <w:r w:rsidR="000B7EC9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bavljeni pregovori i definisan N</w:t>
            </w: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acrt ugovora  koji je upućen u proceduru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6CA4D5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Izrađena informacija o pristupanju i provođenju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43D6CF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Izrađena informacija o pristupanju i provođenju</w:t>
            </w:r>
          </w:p>
        </w:tc>
      </w:tr>
      <w:tr w:rsidR="009F5F1F" w:rsidRPr="004F2C94" w14:paraId="2FF0FA3E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118509DD" w14:textId="65B9BF80" w:rsidR="009F5F1F" w:rsidRPr="004F2C94" w:rsidRDefault="009F5F1F" w:rsidP="006A7790">
            <w:pPr>
              <w:spacing w:before="60" w:after="60"/>
              <w:ind w:left="1" w:right="27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1.3.2.7 </w:t>
            </w:r>
            <w:r w:rsidR="006A7790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Zaključivanje</w:t>
            </w: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ugovora između BiH i Republike Albanije o pravnoj pomoći u građanskim i krivičnim stvarima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FDF7404" w14:textId="50EACBE3" w:rsidR="009F5F1F" w:rsidRPr="004F2C94" w:rsidRDefault="00F340F6" w:rsidP="006A7790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Nacrt u</w:t>
            </w:r>
            <w:r w:rsidR="009F5F1F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govora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47A43D4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1304F7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Obavljeni razgovori sa albanskom stranom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AE14C3" w14:textId="13EB5270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</w:t>
            </w:r>
            <w:r w:rsidR="000B7EC9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bavljeni pregovori i definisan N</w:t>
            </w: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acrt ugovora  koji je upućen u proceduru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93E87E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Izrađena informacija o pristupanju i provođenju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39D2F7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Izrađena informacija o pristupanju i provođenju</w:t>
            </w:r>
          </w:p>
        </w:tc>
      </w:tr>
      <w:tr w:rsidR="009F5F1F" w:rsidRPr="004F2C94" w14:paraId="70DD5D93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2AA8939C" w14:textId="3E1C1CD9" w:rsidR="009F5F1F" w:rsidRPr="004F2C94" w:rsidRDefault="009F5F1F" w:rsidP="006A7790">
            <w:pPr>
              <w:spacing w:before="60" w:after="60"/>
              <w:ind w:left="1" w:right="27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1.3.2.8 </w:t>
            </w:r>
            <w:r w:rsidR="006A7790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Zaključivanje</w:t>
            </w: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ugovora između BiH i Republike Albanije o ekstradiciji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6D2DC19" w14:textId="4479B473" w:rsidR="009F5F1F" w:rsidRPr="004F2C94" w:rsidRDefault="00F340F6" w:rsidP="006A7790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Nacrt u</w:t>
            </w:r>
            <w:r w:rsidR="009F5F1F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govora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B051696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02C33E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Obavljeni razgovori sa albanskom stranom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69A3F8" w14:textId="61F49123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</w:t>
            </w:r>
            <w:r w:rsidR="000B7EC9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bavljeni pregovori i definisan N</w:t>
            </w: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acrt ugovora  koji je upućen u proceduru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D3F0D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Izrađena informacija o pristupanju i provođenju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9EDDCC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Izrađena informacija o pristupanju i provođenju</w:t>
            </w:r>
          </w:p>
        </w:tc>
      </w:tr>
      <w:tr w:rsidR="009F5F1F" w:rsidRPr="004F2C94" w14:paraId="1637ED0D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1410E109" w14:textId="77777777" w:rsidR="009F5F1F" w:rsidRPr="004F2C94" w:rsidRDefault="009F5F1F" w:rsidP="006A7790">
            <w:pPr>
              <w:spacing w:before="60" w:after="60"/>
              <w:ind w:left="1" w:right="27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1.3.2.9 Protokol uz </w:t>
            </w:r>
            <w:r w:rsidR="00D667EE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Haašku</w:t>
            </w: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konvenciju od 23.11.2007. godine o pravu </w:t>
            </w:r>
            <w:r w:rsidR="00D667EE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mjerodavnome</w:t>
            </w: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za obaveze izdržavanja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8E6D0B5" w14:textId="77777777" w:rsidR="009F5F1F" w:rsidRPr="004F2C94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Protokol uz </w:t>
            </w:r>
            <w:r w:rsidR="00D667EE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Haašku</w:t>
            </w: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konvenciju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762A014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5E7FB4" w14:textId="74349519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HK o pravu </w:t>
            </w:r>
            <w:r w:rsidR="00D667EE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mjerodavnome</w:t>
            </w: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za obaveze </w:t>
            </w:r>
            <w:r w:rsidR="00D667EE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izdržavanja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3009C1" w14:textId="77777777" w:rsidR="009F5F1F" w:rsidRPr="004F2C94" w:rsidRDefault="00D667EE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Obavljeni pregovori i </w:t>
            </w:r>
            <w:r w:rsidR="009F5F1F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Protokol uz HK upućen u proceduru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F8396E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Izrađena informacija o pristupanju i provođenju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3CA943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Izrađena informacija o pristupanju i provođenju</w:t>
            </w:r>
          </w:p>
        </w:tc>
      </w:tr>
      <w:tr w:rsidR="009F5F1F" w:rsidRPr="004F2C94" w14:paraId="2DDCA65F" w14:textId="77777777" w:rsidTr="006A7790">
        <w:tc>
          <w:tcPr>
            <w:tcW w:w="4644" w:type="dxa"/>
            <w:shd w:val="clear" w:color="auto" w:fill="FFF2CC" w:themeFill="accent4" w:themeFillTint="33"/>
            <w:vAlign w:val="center"/>
          </w:tcPr>
          <w:p w14:paraId="57FDE85B" w14:textId="77777777" w:rsidR="009F5F1F" w:rsidRPr="004F2C94" w:rsidRDefault="009F5F1F" w:rsidP="006A7790">
            <w:pPr>
              <w:spacing w:before="60" w:after="60"/>
              <w:ind w:left="1" w:right="27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1.3.2.10 </w:t>
            </w:r>
            <w:r w:rsidR="00D667EE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Haaška konvencija o sporazumno iz</w:t>
            </w: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branoj</w:t>
            </w:r>
            <w:r w:rsidR="00D667EE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nadležnosti iz 2005. godine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D9A6384" w14:textId="77777777" w:rsidR="009F5F1F" w:rsidRPr="004F2C94" w:rsidRDefault="00D667EE" w:rsidP="006A7790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Haaška</w:t>
            </w:r>
            <w:r w:rsidR="009F5F1F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konvencija (HK)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7572772" w14:textId="6A5AEF25" w:rsidR="009F5F1F" w:rsidRPr="004F2C94" w:rsidRDefault="004F2C94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072645" w14:textId="77777777" w:rsidR="009F5F1F" w:rsidRPr="004F2C94" w:rsidRDefault="00D667EE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HK o sporazumno iz</w:t>
            </w:r>
            <w:r w:rsidR="009F5F1F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branoj nadležnosti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3598B2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Obavljeni pregovori i</w:t>
            </w:r>
            <w:r w:rsidR="00D667EE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HK upućena u proceduru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94F082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Izrađena informacija o pristupanju i provođenju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263303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Izrađena informacija o pristupanju i provođenju</w:t>
            </w:r>
          </w:p>
        </w:tc>
      </w:tr>
      <w:tr w:rsidR="004F2C94" w:rsidRPr="004F2C94" w14:paraId="3AE7D602" w14:textId="77777777" w:rsidTr="004F2C94">
        <w:tc>
          <w:tcPr>
            <w:tcW w:w="4644" w:type="dxa"/>
            <w:shd w:val="clear" w:color="auto" w:fill="44546A" w:themeFill="text2"/>
            <w:vAlign w:val="center"/>
          </w:tcPr>
          <w:p w14:paraId="5B9E9E10" w14:textId="77777777" w:rsidR="009F5F1F" w:rsidRPr="004F2C94" w:rsidRDefault="009F5F1F" w:rsidP="006A779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  <w:t>Projekat</w:t>
            </w:r>
          </w:p>
          <w:p w14:paraId="4AF157C2" w14:textId="77777777" w:rsidR="009F5F1F" w:rsidRPr="004F2C94" w:rsidRDefault="009F5F1F" w:rsidP="006A779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  <w:t>Programa 1.3.3</w:t>
            </w:r>
          </w:p>
          <w:p w14:paraId="732BA96D" w14:textId="77777777" w:rsidR="009F5F1F" w:rsidRPr="004F2C94" w:rsidRDefault="009F5F1F" w:rsidP="006A77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  <w:t>Međuentitetska pravna pomoć</w:t>
            </w:r>
          </w:p>
        </w:tc>
        <w:tc>
          <w:tcPr>
            <w:tcW w:w="1276" w:type="dxa"/>
            <w:shd w:val="clear" w:color="auto" w:fill="44546A" w:themeFill="text2"/>
            <w:vAlign w:val="center"/>
          </w:tcPr>
          <w:p w14:paraId="6AF5022A" w14:textId="77777777" w:rsidR="009F5F1F" w:rsidRPr="004F2C94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Pokazatelj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35D03824" w14:textId="77777777" w:rsidR="009F5F1F" w:rsidRPr="004F2C94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Jedinica</w:t>
            </w:r>
          </w:p>
          <w:p w14:paraId="7F2AB30A" w14:textId="77777777" w:rsidR="009F5F1F" w:rsidRPr="004F2C94" w:rsidRDefault="009F5F1F" w:rsidP="006A7790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mjerenja</w:t>
            </w:r>
          </w:p>
        </w:tc>
        <w:tc>
          <w:tcPr>
            <w:tcW w:w="1418" w:type="dxa"/>
            <w:shd w:val="clear" w:color="auto" w:fill="44546A" w:themeFill="text2"/>
            <w:vAlign w:val="center"/>
          </w:tcPr>
          <w:p w14:paraId="6CE5A911" w14:textId="2DCC1C00" w:rsidR="009F5F1F" w:rsidRPr="004F2C94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2015</w:t>
            </w:r>
            <w:r w:rsid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.</w:t>
            </w:r>
          </w:p>
          <w:p w14:paraId="200E2841" w14:textId="77777777" w:rsidR="009F5F1F" w:rsidRPr="004F2C94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Polazna vrijednost</w:t>
            </w:r>
          </w:p>
        </w:tc>
        <w:tc>
          <w:tcPr>
            <w:tcW w:w="1843" w:type="dxa"/>
            <w:shd w:val="clear" w:color="auto" w:fill="44546A" w:themeFill="text2"/>
            <w:vAlign w:val="center"/>
          </w:tcPr>
          <w:p w14:paraId="2DF6091B" w14:textId="0A5AFBF4" w:rsidR="009F5F1F" w:rsidRPr="004F2C94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2016</w:t>
            </w:r>
            <w:r w:rsid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.</w:t>
            </w:r>
          </w:p>
        </w:tc>
        <w:tc>
          <w:tcPr>
            <w:tcW w:w="1984" w:type="dxa"/>
            <w:shd w:val="clear" w:color="auto" w:fill="44546A" w:themeFill="text2"/>
            <w:vAlign w:val="center"/>
          </w:tcPr>
          <w:p w14:paraId="6977B111" w14:textId="5F806BD9" w:rsidR="009F5F1F" w:rsidRPr="004F2C94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2017</w:t>
            </w:r>
            <w:r w:rsid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.</w:t>
            </w:r>
          </w:p>
        </w:tc>
        <w:tc>
          <w:tcPr>
            <w:tcW w:w="2126" w:type="dxa"/>
            <w:shd w:val="clear" w:color="auto" w:fill="44546A" w:themeFill="text2"/>
            <w:vAlign w:val="center"/>
          </w:tcPr>
          <w:p w14:paraId="3D4A4850" w14:textId="5CB6441D" w:rsidR="009F5F1F" w:rsidRPr="004F2C94" w:rsidRDefault="009F5F1F" w:rsidP="006A779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2018</w:t>
            </w:r>
            <w:r w:rsidR="004F2C9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.</w:t>
            </w:r>
          </w:p>
        </w:tc>
      </w:tr>
      <w:tr w:rsidR="009F5F1F" w:rsidRPr="004F2C94" w14:paraId="1C48B2F7" w14:textId="77777777" w:rsidTr="006A7790">
        <w:trPr>
          <w:trHeight w:val="297"/>
        </w:trPr>
        <w:tc>
          <w:tcPr>
            <w:tcW w:w="4644" w:type="dxa"/>
            <w:shd w:val="clear" w:color="auto" w:fill="FFF2CC" w:themeFill="accent4" w:themeFillTint="33"/>
            <w:vAlign w:val="center"/>
          </w:tcPr>
          <w:p w14:paraId="20CF6F9C" w14:textId="77777777" w:rsidR="009F5F1F" w:rsidRPr="004F2C94" w:rsidRDefault="009F5F1F" w:rsidP="006A7790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1.3.3.1 Usklađivanje zakonskih standarda među entitetima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C1B6968" w14:textId="328970DC" w:rsidR="009F5F1F" w:rsidRPr="004F2C94" w:rsidRDefault="009F5F1F" w:rsidP="006A7790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Informativno</w:t>
            </w:r>
            <w:r w:rsidR="004F2C94"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-</w:t>
            </w: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23EC2F4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1F3AB7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507054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95336A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CBABF6" w14:textId="77777777" w:rsidR="009F5F1F" w:rsidRPr="004F2C94" w:rsidRDefault="009F5F1F" w:rsidP="006A7790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sz w:val="16"/>
                <w:szCs w:val="16"/>
                <w:lang w:val="bs-Latn-BA"/>
              </w:rPr>
              <w:t>1</w:t>
            </w:r>
          </w:p>
        </w:tc>
      </w:tr>
    </w:tbl>
    <w:p w14:paraId="5997CC1D" w14:textId="77777777" w:rsidR="009F5F1F" w:rsidRPr="00C77FF0" w:rsidRDefault="009F5F1F" w:rsidP="009F5F1F">
      <w:pPr>
        <w:rPr>
          <w:rFonts w:ascii="Times New Roman" w:hAnsi="Times New Roman" w:cs="Times New Roman"/>
          <w:sz w:val="24"/>
          <w:szCs w:val="24"/>
        </w:rPr>
      </w:pPr>
      <w:r w:rsidRPr="00C77FF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1"/>
        <w:tblpPr w:leftFromText="180" w:rightFromText="180" w:vertAnchor="text" w:horzAnchor="margin" w:tblpX="-39" w:tblpY="137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4644"/>
        <w:gridCol w:w="1276"/>
        <w:gridCol w:w="992"/>
        <w:gridCol w:w="1418"/>
        <w:gridCol w:w="1843"/>
        <w:gridCol w:w="1984"/>
        <w:gridCol w:w="2126"/>
      </w:tblGrid>
      <w:tr w:rsidR="004F2C94" w:rsidRPr="004F2C94" w14:paraId="1AF461E9" w14:textId="77777777" w:rsidTr="004F2C94">
        <w:tc>
          <w:tcPr>
            <w:tcW w:w="4644" w:type="dxa"/>
            <w:shd w:val="clear" w:color="auto" w:fill="44546A" w:themeFill="text2"/>
            <w:vAlign w:val="center"/>
          </w:tcPr>
          <w:p w14:paraId="04AD3F33" w14:textId="77777777" w:rsidR="009F5F1F" w:rsidRPr="004F2C94" w:rsidRDefault="009F5F1F" w:rsidP="004F2C9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lastRenderedPageBreak/>
              <w:t>Projekti</w:t>
            </w:r>
            <w:r w:rsidRPr="004F2C94">
              <w:rPr>
                <w:rStyle w:val="FootnoteReference"/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footnoteReference w:id="13"/>
            </w:r>
          </w:p>
          <w:p w14:paraId="122FF422" w14:textId="77777777" w:rsidR="009F5F1F" w:rsidRPr="004F2C94" w:rsidRDefault="009F5F1F" w:rsidP="004F2C9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Programa 2.1.1</w:t>
            </w:r>
          </w:p>
          <w:p w14:paraId="08E5258A" w14:textId="77777777" w:rsidR="009F5F1F" w:rsidRPr="004F2C94" w:rsidRDefault="009F5F1F" w:rsidP="004F2C9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Okvir za aktivniji angažman civilnog društva</w:t>
            </w:r>
            <w:r w:rsidRPr="004F2C94">
              <w:rPr>
                <w:rStyle w:val="FootnoteReference"/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footnoteReference w:id="14"/>
            </w:r>
          </w:p>
        </w:tc>
        <w:tc>
          <w:tcPr>
            <w:tcW w:w="1276" w:type="dxa"/>
            <w:shd w:val="clear" w:color="auto" w:fill="44546A" w:themeFill="text2"/>
            <w:vAlign w:val="center"/>
          </w:tcPr>
          <w:p w14:paraId="4A743F5A" w14:textId="77777777" w:rsidR="009F5F1F" w:rsidRPr="004F2C94" w:rsidRDefault="009F5F1F" w:rsidP="004F2C94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Pokazatelj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76FA81CC" w14:textId="77777777" w:rsidR="009F5F1F" w:rsidRPr="004F2C94" w:rsidRDefault="009F5F1F" w:rsidP="004F2C94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Jedinica</w:t>
            </w:r>
          </w:p>
          <w:p w14:paraId="4ED8221A" w14:textId="77777777" w:rsidR="009F5F1F" w:rsidRPr="004F2C94" w:rsidRDefault="009F5F1F" w:rsidP="004F2C94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mjerenja</w:t>
            </w:r>
          </w:p>
        </w:tc>
        <w:tc>
          <w:tcPr>
            <w:tcW w:w="1418" w:type="dxa"/>
            <w:shd w:val="clear" w:color="auto" w:fill="44546A" w:themeFill="text2"/>
            <w:vAlign w:val="center"/>
          </w:tcPr>
          <w:p w14:paraId="7EEE0009" w14:textId="575FF608" w:rsidR="009F5F1F" w:rsidRPr="004F2C94" w:rsidRDefault="009F5F1F" w:rsidP="004F2C94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2015</w:t>
            </w:r>
            <w:r w:rsidR="004F2C9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  <w:p w14:paraId="7BECD620" w14:textId="77777777" w:rsidR="009F5F1F" w:rsidRPr="004F2C94" w:rsidRDefault="009F5F1F" w:rsidP="004F2C94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Polazna vrijednost</w:t>
            </w:r>
          </w:p>
        </w:tc>
        <w:tc>
          <w:tcPr>
            <w:tcW w:w="1843" w:type="dxa"/>
            <w:shd w:val="clear" w:color="auto" w:fill="44546A" w:themeFill="text2"/>
            <w:vAlign w:val="center"/>
          </w:tcPr>
          <w:p w14:paraId="276778DC" w14:textId="176E8785" w:rsidR="009F5F1F" w:rsidRPr="004F2C94" w:rsidRDefault="009F5F1F" w:rsidP="004F2C94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2016</w:t>
            </w:r>
            <w:r w:rsidR="004F2C9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1984" w:type="dxa"/>
            <w:shd w:val="clear" w:color="auto" w:fill="44546A" w:themeFill="text2"/>
            <w:vAlign w:val="center"/>
          </w:tcPr>
          <w:p w14:paraId="2CCCA501" w14:textId="0651C167" w:rsidR="009F5F1F" w:rsidRPr="004F2C94" w:rsidRDefault="009F5F1F" w:rsidP="004F2C94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2017</w:t>
            </w:r>
            <w:r w:rsidR="004F2C9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2126" w:type="dxa"/>
            <w:shd w:val="clear" w:color="auto" w:fill="44546A" w:themeFill="text2"/>
            <w:vAlign w:val="center"/>
          </w:tcPr>
          <w:p w14:paraId="13130A3A" w14:textId="097535DB" w:rsidR="009F5F1F" w:rsidRPr="004F2C94" w:rsidRDefault="009F5F1F" w:rsidP="004F2C94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2018</w:t>
            </w:r>
            <w:r w:rsidR="004F2C9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</w:tr>
      <w:tr w:rsidR="009F5F1F" w:rsidRPr="004F2C94" w14:paraId="7055F713" w14:textId="77777777" w:rsidTr="004F2C94">
        <w:trPr>
          <w:trHeight w:val="297"/>
        </w:trPr>
        <w:tc>
          <w:tcPr>
            <w:tcW w:w="4644" w:type="dxa"/>
            <w:shd w:val="clear" w:color="auto" w:fill="FFF2CC" w:themeFill="accent4" w:themeFillTint="33"/>
            <w:vAlign w:val="center"/>
          </w:tcPr>
          <w:p w14:paraId="28C58D96" w14:textId="77777777" w:rsidR="009F5F1F" w:rsidRPr="004F2C94" w:rsidRDefault="009F5F1F" w:rsidP="004F2C94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2.1.1.1 Revidiranje Sporazuma o saradnji Vijeća ministara BiH i nevladinog</w:t>
            </w:r>
            <w:r w:rsidR="00D667EE"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sektora u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0A1C664" w14:textId="4B2F67FA" w:rsidR="009F5F1F" w:rsidRPr="004F2C94" w:rsidRDefault="009F5F1F" w:rsidP="004F2C9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akti, propisi i drugi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862963B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999762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C3D751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4AAD78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7D0166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</w:tr>
      <w:tr w:rsidR="009F5F1F" w:rsidRPr="004F2C94" w14:paraId="1B621EBF" w14:textId="77777777" w:rsidTr="004F2C94">
        <w:tc>
          <w:tcPr>
            <w:tcW w:w="4644" w:type="dxa"/>
            <w:shd w:val="clear" w:color="auto" w:fill="FFF2CC" w:themeFill="accent4" w:themeFillTint="33"/>
            <w:vAlign w:val="center"/>
          </w:tcPr>
          <w:p w14:paraId="1B9121EC" w14:textId="77777777" w:rsidR="009F5F1F" w:rsidRPr="004F2C94" w:rsidRDefault="009F5F1F" w:rsidP="004F2C94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2.1.1.2 Provođenje programa EU Evropa za građane 2014. – 2020.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B0784E6" w14:textId="74B4C014" w:rsidR="009F5F1F" w:rsidRPr="004F2C94" w:rsidRDefault="009F5F1F" w:rsidP="004F2C9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6897950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CED413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7074C6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71868B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85A0A4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</w:tr>
      <w:tr w:rsidR="009F5F1F" w:rsidRPr="004F2C94" w14:paraId="58F7A22F" w14:textId="77777777" w:rsidTr="004F2C94">
        <w:tc>
          <w:tcPr>
            <w:tcW w:w="4644" w:type="dxa"/>
            <w:shd w:val="clear" w:color="auto" w:fill="FFF2CC" w:themeFill="accent4" w:themeFillTint="33"/>
            <w:vAlign w:val="center"/>
          </w:tcPr>
          <w:p w14:paraId="0D0C9805" w14:textId="77777777" w:rsidR="009F5F1F" w:rsidRPr="004F2C94" w:rsidRDefault="009F5F1F" w:rsidP="004F2C94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2.1.1.3 Stvaranje pretpostavki za transparentno finansiranje organizacija civilnog društva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1774C24" w14:textId="5539AC6F" w:rsidR="009F5F1F" w:rsidRPr="004F2C94" w:rsidRDefault="009F5F1F" w:rsidP="004F2C9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137D44C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13FF8E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E5B16B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A80843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A66D29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</w:tr>
      <w:tr w:rsidR="009F5F1F" w:rsidRPr="004F2C94" w14:paraId="1AA0BADC" w14:textId="77777777" w:rsidTr="004F2C94">
        <w:tc>
          <w:tcPr>
            <w:tcW w:w="4644" w:type="dxa"/>
            <w:shd w:val="clear" w:color="auto" w:fill="FFF2CC" w:themeFill="accent4" w:themeFillTint="33"/>
            <w:vAlign w:val="center"/>
          </w:tcPr>
          <w:p w14:paraId="21213643" w14:textId="77777777" w:rsidR="009F5F1F" w:rsidRPr="004F2C94" w:rsidRDefault="009F5F1F" w:rsidP="004F2C94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2.1.1.4 Provođenje Pravila za konsultacije u izradi propisa u MP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1443E7A" w14:textId="20991131" w:rsidR="009F5F1F" w:rsidRPr="004F2C94" w:rsidRDefault="009F5F1F" w:rsidP="004F2C9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B606420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87215F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39319E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3C4372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CE27A1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</w:tr>
      <w:tr w:rsidR="009F5F1F" w:rsidRPr="004F2C94" w14:paraId="4A8E76A5" w14:textId="77777777" w:rsidTr="004F2C94">
        <w:tc>
          <w:tcPr>
            <w:tcW w:w="4644" w:type="dxa"/>
            <w:shd w:val="clear" w:color="auto" w:fill="FFF2CC" w:themeFill="accent4" w:themeFillTint="33"/>
            <w:vAlign w:val="center"/>
          </w:tcPr>
          <w:p w14:paraId="4D554160" w14:textId="7B9F836C" w:rsidR="009F5F1F" w:rsidRPr="004F2C94" w:rsidRDefault="009F5F1F" w:rsidP="004F2C94">
            <w:pPr>
              <w:spacing w:before="60" w:after="60"/>
              <w:ind w:left="1" w:right="27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2.1.1.5 </w:t>
            </w:r>
            <w:r w:rsidR="0067688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Pomoć pri registraciji udruženja</w:t>
            </w: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građana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A6895A7" w14:textId="2B3549BD" w:rsidR="009F5F1F" w:rsidRPr="004F2C94" w:rsidRDefault="009F5F1F" w:rsidP="004F2C94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8B4E496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0D6AA5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74E532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E14F55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470A0D" w14:textId="77777777" w:rsidR="009F5F1F" w:rsidRPr="004F2C94" w:rsidRDefault="009F5F1F" w:rsidP="004F2C94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4F2C9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</w:tr>
    </w:tbl>
    <w:p w14:paraId="110FFD37" w14:textId="77777777" w:rsidR="009F5F1F" w:rsidRPr="00C77FF0" w:rsidRDefault="009F5F1F" w:rsidP="009F5F1F">
      <w:pPr>
        <w:rPr>
          <w:rFonts w:ascii="Times New Roman" w:hAnsi="Times New Roman" w:cs="Times New Roman"/>
          <w:sz w:val="24"/>
          <w:szCs w:val="24"/>
        </w:rPr>
      </w:pPr>
      <w:r w:rsidRPr="00C77FF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1"/>
        <w:tblpPr w:leftFromText="180" w:rightFromText="180" w:vertAnchor="text" w:horzAnchor="margin" w:tblpX="-39" w:tblpY="137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4644"/>
        <w:gridCol w:w="1276"/>
        <w:gridCol w:w="992"/>
        <w:gridCol w:w="1418"/>
        <w:gridCol w:w="1843"/>
        <w:gridCol w:w="1984"/>
        <w:gridCol w:w="2126"/>
      </w:tblGrid>
      <w:tr w:rsidR="008E2B74" w:rsidRPr="008E2B74" w14:paraId="2C8CE409" w14:textId="77777777" w:rsidTr="00DC0AA0">
        <w:tc>
          <w:tcPr>
            <w:tcW w:w="4644" w:type="dxa"/>
            <w:shd w:val="clear" w:color="auto" w:fill="44546A" w:themeFill="text2"/>
            <w:vAlign w:val="center"/>
          </w:tcPr>
          <w:p w14:paraId="2D5D6F4E" w14:textId="77777777" w:rsidR="009F5F1F" w:rsidRPr="008E2B74" w:rsidRDefault="009F5F1F" w:rsidP="00DC0AA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lastRenderedPageBreak/>
              <w:t>Projekti</w:t>
            </w:r>
            <w:r w:rsidRPr="008E2B74">
              <w:rPr>
                <w:rStyle w:val="FootnoteReference"/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footnoteReference w:id="15"/>
            </w:r>
          </w:p>
          <w:p w14:paraId="495E63A3" w14:textId="77777777" w:rsidR="009F5F1F" w:rsidRPr="008E2B74" w:rsidRDefault="009F5F1F" w:rsidP="00DC0AA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Programa 2.2.1</w:t>
            </w:r>
          </w:p>
          <w:p w14:paraId="04EA6E17" w14:textId="77777777" w:rsidR="009F5F1F" w:rsidRPr="008E2B74" w:rsidRDefault="009F5F1F" w:rsidP="00DC0AA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Unapređenje zakonodavnog okvira, kapaciteta i vođenja upravnog postupka</w:t>
            </w:r>
          </w:p>
        </w:tc>
        <w:tc>
          <w:tcPr>
            <w:tcW w:w="1276" w:type="dxa"/>
            <w:shd w:val="clear" w:color="auto" w:fill="44546A" w:themeFill="text2"/>
            <w:vAlign w:val="center"/>
          </w:tcPr>
          <w:p w14:paraId="48D40972" w14:textId="77777777" w:rsidR="009F5F1F" w:rsidRPr="008E2B74" w:rsidRDefault="009F5F1F" w:rsidP="00DC0AA0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Pokazatelj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07FE2C71" w14:textId="77777777" w:rsidR="009F5F1F" w:rsidRPr="008E2B74" w:rsidRDefault="009F5F1F" w:rsidP="00DC0AA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Jedinica</w:t>
            </w:r>
          </w:p>
          <w:p w14:paraId="3688C976" w14:textId="77777777" w:rsidR="009F5F1F" w:rsidRPr="008E2B74" w:rsidRDefault="009F5F1F" w:rsidP="00DC0AA0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mjerenja</w:t>
            </w:r>
          </w:p>
        </w:tc>
        <w:tc>
          <w:tcPr>
            <w:tcW w:w="1418" w:type="dxa"/>
            <w:shd w:val="clear" w:color="auto" w:fill="44546A" w:themeFill="text2"/>
            <w:vAlign w:val="center"/>
          </w:tcPr>
          <w:p w14:paraId="7BBD29BA" w14:textId="3EAAD33B" w:rsidR="009F5F1F" w:rsidRPr="008E2B74" w:rsidRDefault="009F5F1F" w:rsidP="00DC0AA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2015</w:t>
            </w:r>
            <w:r w:rsidR="00DC0AA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  <w:p w14:paraId="20F2E3A7" w14:textId="77777777" w:rsidR="009F5F1F" w:rsidRPr="008E2B74" w:rsidRDefault="009F5F1F" w:rsidP="00DC0AA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Polazna vrijednost</w:t>
            </w:r>
          </w:p>
        </w:tc>
        <w:tc>
          <w:tcPr>
            <w:tcW w:w="1843" w:type="dxa"/>
            <w:shd w:val="clear" w:color="auto" w:fill="44546A" w:themeFill="text2"/>
            <w:vAlign w:val="center"/>
          </w:tcPr>
          <w:p w14:paraId="6C1747C1" w14:textId="3A7654D4" w:rsidR="009F5F1F" w:rsidRPr="008E2B74" w:rsidRDefault="009F5F1F" w:rsidP="00DC0AA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2016</w:t>
            </w:r>
            <w:r w:rsidR="00DC0AA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1984" w:type="dxa"/>
            <w:shd w:val="clear" w:color="auto" w:fill="44546A" w:themeFill="text2"/>
            <w:vAlign w:val="center"/>
          </w:tcPr>
          <w:p w14:paraId="2A64BDB5" w14:textId="68A10D0C" w:rsidR="009F5F1F" w:rsidRPr="008E2B74" w:rsidRDefault="009F5F1F" w:rsidP="00DC0AA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2017</w:t>
            </w:r>
            <w:r w:rsidR="00DC0AA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2126" w:type="dxa"/>
            <w:shd w:val="clear" w:color="auto" w:fill="44546A" w:themeFill="text2"/>
            <w:vAlign w:val="center"/>
          </w:tcPr>
          <w:p w14:paraId="731F62A1" w14:textId="057E82DE" w:rsidR="009F5F1F" w:rsidRPr="008E2B74" w:rsidRDefault="009F5F1F" w:rsidP="00DC0AA0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2018</w:t>
            </w:r>
            <w:r w:rsidR="00DC0AA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</w:tr>
      <w:tr w:rsidR="009F5F1F" w:rsidRPr="008E2B74" w14:paraId="157B68B3" w14:textId="77777777" w:rsidTr="00DC0AA0">
        <w:trPr>
          <w:trHeight w:val="297"/>
        </w:trPr>
        <w:tc>
          <w:tcPr>
            <w:tcW w:w="4644" w:type="dxa"/>
            <w:shd w:val="clear" w:color="auto" w:fill="FFF2CC" w:themeFill="accent4" w:themeFillTint="33"/>
            <w:vAlign w:val="center"/>
          </w:tcPr>
          <w:p w14:paraId="66240633" w14:textId="77777777" w:rsidR="009F5F1F" w:rsidRPr="008E2B74" w:rsidRDefault="009F5F1F" w:rsidP="00DC0AA0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2.2.1.1 </w:t>
            </w:r>
            <w:r w:rsidR="003E0E4A"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</w:t>
            </w: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zakonodavnog okvira BiH koji se odnosi na sistemske zakone BiH i rješavanje u upravnom postupku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F9770F2" w14:textId="078097A7" w:rsidR="009F5F1F" w:rsidRPr="008E2B74" w:rsidRDefault="009F5F1F" w:rsidP="00DC0AA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DC0AA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9FE96C1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DBB072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A26C19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B6E75B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8E35E1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</w:tr>
      <w:tr w:rsidR="009F5F1F" w:rsidRPr="008E2B74" w14:paraId="12B1F359" w14:textId="77777777" w:rsidTr="00DC0AA0">
        <w:tc>
          <w:tcPr>
            <w:tcW w:w="4644" w:type="dxa"/>
            <w:shd w:val="clear" w:color="auto" w:fill="FFF2CC" w:themeFill="accent4" w:themeFillTint="33"/>
            <w:vAlign w:val="center"/>
          </w:tcPr>
          <w:p w14:paraId="1BFDAFBA" w14:textId="77777777" w:rsidR="009F5F1F" w:rsidRPr="008E2B74" w:rsidRDefault="009F5F1F" w:rsidP="00DC0AA0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2.2.1.2 Izrada i upućivanje u proceduru usvajanja Zakona o izmjenama i dopunama Zakona o upravi</w:t>
            </w:r>
            <w:r w:rsidRPr="008E2B74"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bs-Latn-BA"/>
              </w:rPr>
              <w:footnoteReference w:id="16"/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B699379" w14:textId="77777777" w:rsidR="009F5F1F" w:rsidRPr="008E2B74" w:rsidRDefault="009F5F1F" w:rsidP="00DC0AA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FE9F23F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72F646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CE6F91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CDCEAD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B9E253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9F5F1F" w:rsidRPr="008E2B74" w14:paraId="77DD779C" w14:textId="77777777" w:rsidTr="00DC0AA0">
        <w:tc>
          <w:tcPr>
            <w:tcW w:w="4644" w:type="dxa"/>
            <w:shd w:val="clear" w:color="auto" w:fill="FFF2CC" w:themeFill="accent4" w:themeFillTint="33"/>
            <w:vAlign w:val="center"/>
          </w:tcPr>
          <w:p w14:paraId="69479E3F" w14:textId="77777777" w:rsidR="009F5F1F" w:rsidRPr="008E2B74" w:rsidRDefault="009F5F1F" w:rsidP="00DC0AA0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2.2.1.3 Izrada i upućivanje u proceduru usvajanja Zakona o izmjenama i dopunama Zakona o udruženjima i fondacijama BiH</w:t>
            </w:r>
            <w:r w:rsidRPr="008E2B74"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bs-Latn-BA"/>
              </w:rPr>
              <w:footnoteReference w:id="17"/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3DE523C" w14:textId="77777777" w:rsidR="009F5F1F" w:rsidRPr="008E2B74" w:rsidRDefault="009F5F1F" w:rsidP="00DC0AA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2E56223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547A01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043CB0F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7459315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37F28F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9F5F1F" w:rsidRPr="008E2B74" w14:paraId="6C8EB9CC" w14:textId="77777777" w:rsidTr="00DC0AA0">
        <w:tc>
          <w:tcPr>
            <w:tcW w:w="4644" w:type="dxa"/>
            <w:shd w:val="clear" w:color="auto" w:fill="FFF2CC" w:themeFill="accent4" w:themeFillTint="33"/>
            <w:vAlign w:val="center"/>
          </w:tcPr>
          <w:p w14:paraId="06DFD429" w14:textId="77777777" w:rsidR="009F5F1F" w:rsidRPr="008E2B74" w:rsidRDefault="009F5F1F" w:rsidP="00DC0AA0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2.2.1.4 Izrada i upućivanje u proceduru usvajanja Zakona o radu u institucijama BiH</w:t>
            </w:r>
            <w:r w:rsidRPr="008E2B74"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bs-Latn-BA"/>
              </w:rPr>
              <w:footnoteReference w:id="18"/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DFB9E20" w14:textId="77777777" w:rsidR="009F5F1F" w:rsidRPr="008E2B74" w:rsidRDefault="009F5F1F" w:rsidP="00DC0AA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0DF9E56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E871BC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4A5D23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8610EB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37805D2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9F5F1F" w:rsidRPr="008E2B74" w14:paraId="4F75172A" w14:textId="77777777" w:rsidTr="00DC0AA0">
        <w:tc>
          <w:tcPr>
            <w:tcW w:w="4644" w:type="dxa"/>
            <w:shd w:val="clear" w:color="auto" w:fill="FFF2CC" w:themeFill="accent4" w:themeFillTint="33"/>
            <w:vAlign w:val="center"/>
          </w:tcPr>
          <w:p w14:paraId="7B8CBD4C" w14:textId="77777777" w:rsidR="009F5F1F" w:rsidRPr="008E2B74" w:rsidRDefault="009F5F1F" w:rsidP="00DC0AA0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2.2.1.5 Izrada i upućivanje u proceduru usvajanja Zakona o humanitarnim organizacijama</w:t>
            </w:r>
            <w:r w:rsidRPr="008E2B7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bs-Latn-BA"/>
              </w:rPr>
              <w:footnoteReference w:id="19"/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63F29E8" w14:textId="77777777" w:rsidR="009F5F1F" w:rsidRPr="008E2B74" w:rsidRDefault="009F5F1F" w:rsidP="00DC0AA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B7B4B86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0FF5F2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30AD66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829076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A226A1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9F5F1F" w:rsidRPr="008E2B74" w14:paraId="4672C42E" w14:textId="77777777" w:rsidTr="00DC0AA0">
        <w:tc>
          <w:tcPr>
            <w:tcW w:w="4644" w:type="dxa"/>
            <w:shd w:val="clear" w:color="auto" w:fill="FFF2CC" w:themeFill="accent4" w:themeFillTint="33"/>
            <w:vAlign w:val="center"/>
          </w:tcPr>
          <w:p w14:paraId="50C8A051" w14:textId="77777777" w:rsidR="009F5F1F" w:rsidRPr="008E2B74" w:rsidRDefault="009F5F1F" w:rsidP="00DC0AA0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2.2.1.6 Izrada i upućivanje u proceduru usvajanja Zakona o izmjenama i dopunama Zakona o upravnom postupku</w:t>
            </w:r>
            <w:r w:rsidRPr="008E2B7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bs-Latn-BA"/>
              </w:rPr>
              <w:footnoteReference w:id="20"/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7AD93B2" w14:textId="77777777" w:rsidR="009F5F1F" w:rsidRPr="008E2B74" w:rsidRDefault="009F5F1F" w:rsidP="00DC0AA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DE4B5B7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204FF1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BF0D7D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B62F1B3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F2C34E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9F5F1F" w:rsidRPr="008E2B74" w14:paraId="112C00AC" w14:textId="77777777" w:rsidTr="00DC0AA0">
        <w:tc>
          <w:tcPr>
            <w:tcW w:w="4644" w:type="dxa"/>
            <w:shd w:val="clear" w:color="auto" w:fill="FFF2CC" w:themeFill="accent4" w:themeFillTint="33"/>
            <w:vAlign w:val="center"/>
          </w:tcPr>
          <w:p w14:paraId="6721136E" w14:textId="77777777" w:rsidR="009F5F1F" w:rsidRPr="008E2B74" w:rsidRDefault="009F5F1F" w:rsidP="00DC0AA0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2.2.1.7 Izrada i upućivanje u proceduru usvajanja Okvirnog zakona o volontiranju</w:t>
            </w:r>
            <w:r w:rsidRPr="008E2B74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bs-Latn-BA"/>
              </w:rPr>
              <w:footnoteReference w:id="21"/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80A4E5D" w14:textId="77777777" w:rsidR="009F5F1F" w:rsidRPr="008E2B74" w:rsidRDefault="009F5F1F" w:rsidP="00DC0AA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9219836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6FEF7D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94DBDC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9D0D3C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CD245A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9F5F1F" w:rsidRPr="008E2B74" w14:paraId="3674DBB2" w14:textId="77777777" w:rsidTr="00DC0AA0">
        <w:tc>
          <w:tcPr>
            <w:tcW w:w="4644" w:type="dxa"/>
            <w:shd w:val="clear" w:color="auto" w:fill="FFF2CC" w:themeFill="accent4" w:themeFillTint="33"/>
            <w:vAlign w:val="center"/>
          </w:tcPr>
          <w:p w14:paraId="795AAF73" w14:textId="77777777" w:rsidR="009F5F1F" w:rsidRPr="008E2B74" w:rsidRDefault="009F5F1F" w:rsidP="00DC0AA0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2.2.1.8 Izrada i upućivanje u proceduru usvajanja Zakona o izmjenama i dopunama Zakona o državnoj službi u institucijama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260033C" w14:textId="01DBBF05" w:rsidR="009F5F1F" w:rsidRPr="008E2B74" w:rsidRDefault="00801EEC" w:rsidP="00DC0AA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F810B67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1976B" w14:textId="4381C94F" w:rsidR="009F5F1F" w:rsidRPr="008E2B74" w:rsidRDefault="00DC0AA0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Zakon o državnoj službi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41F258" w14:textId="250ACC7E" w:rsidR="009F5F1F" w:rsidRPr="008E2B74" w:rsidRDefault="00801EEC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 upućen na usvajanje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315D15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Izrađena informacija o primjeni Zakona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D1C1B7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Izrađena informacija o primjeni Zakona</w:t>
            </w:r>
          </w:p>
        </w:tc>
      </w:tr>
      <w:tr w:rsidR="009F5F1F" w:rsidRPr="008E2B74" w14:paraId="14E24570" w14:textId="77777777" w:rsidTr="00DC0AA0">
        <w:tc>
          <w:tcPr>
            <w:tcW w:w="4644" w:type="dxa"/>
            <w:shd w:val="clear" w:color="auto" w:fill="FFF2CC" w:themeFill="accent4" w:themeFillTint="33"/>
            <w:vAlign w:val="center"/>
          </w:tcPr>
          <w:p w14:paraId="15D29D31" w14:textId="77777777" w:rsidR="009F5F1F" w:rsidRPr="008E2B74" w:rsidRDefault="009F5F1F" w:rsidP="00DC0AA0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2.2.1.9 Izrada i upućivanje u proceduru usvajanja Zakona o slobodi pristupa Informacijama 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AAAD5CF" w14:textId="1E9923F1" w:rsidR="009F5F1F" w:rsidRPr="008E2B74" w:rsidRDefault="00801EEC" w:rsidP="00DC0AA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9A2D980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4EE494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ZOSPI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9BC034" w14:textId="6D04F965" w:rsidR="009F5F1F" w:rsidRPr="008E2B74" w:rsidRDefault="00801EEC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 upućen na usvajanje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99F149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Izrađena informacija o primjeni Zakona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97F225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primjeni </w:t>
            </w:r>
          </w:p>
        </w:tc>
      </w:tr>
      <w:tr w:rsidR="009F5F1F" w:rsidRPr="008E2B74" w14:paraId="295735CD" w14:textId="77777777" w:rsidTr="00DC0AA0">
        <w:tc>
          <w:tcPr>
            <w:tcW w:w="4644" w:type="dxa"/>
            <w:shd w:val="clear" w:color="auto" w:fill="FFF2CC" w:themeFill="accent4" w:themeFillTint="33"/>
            <w:vAlign w:val="center"/>
          </w:tcPr>
          <w:p w14:paraId="284E1811" w14:textId="77777777" w:rsidR="009F5F1F" w:rsidRPr="008E2B74" w:rsidRDefault="009F5F1F" w:rsidP="00DC0AA0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2.2.1.10 Izrada i upućivanje u proceduru usvajanja Zakona o ministarskim imenovanjima, imenovanjima VM BiH i drugim imenovanjima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5491A37" w14:textId="70F6B744" w:rsidR="009F5F1F" w:rsidRPr="008E2B74" w:rsidRDefault="00801EEC" w:rsidP="00DC0AA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2B96EC3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BF3D4E" w14:textId="665FE27C" w:rsidR="009F5F1F" w:rsidRPr="008E2B74" w:rsidRDefault="00DC0AA0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Zakon o državnoj službi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6695E9" w14:textId="2B8C50D2" w:rsidR="009F5F1F" w:rsidRPr="008E2B74" w:rsidRDefault="00801EEC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 upućen na usvajanje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528423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Izrađena informacija o primjeni Zakona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21621D" w14:textId="7E165C0B" w:rsidR="009F5F1F" w:rsidRPr="008E2B74" w:rsidRDefault="00DC0AA0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Izrađena informacija o primjeni</w:t>
            </w:r>
          </w:p>
        </w:tc>
      </w:tr>
      <w:tr w:rsidR="009F5F1F" w:rsidRPr="008E2B74" w14:paraId="7E3C762F" w14:textId="77777777" w:rsidTr="00DC0AA0">
        <w:tc>
          <w:tcPr>
            <w:tcW w:w="4644" w:type="dxa"/>
            <w:shd w:val="clear" w:color="auto" w:fill="FFF2CC" w:themeFill="accent4" w:themeFillTint="33"/>
            <w:vAlign w:val="center"/>
          </w:tcPr>
          <w:p w14:paraId="69301EEA" w14:textId="6A42AF32" w:rsidR="009F5F1F" w:rsidRPr="008E2B74" w:rsidRDefault="009F5F1F" w:rsidP="00DC0AA0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2.2.1.11 Izrada i upućivanje u proceduru usvajanja Zakona o registraciji pravnih </w:t>
            </w:r>
            <w:r w:rsidR="00801EEC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lica koja</w:t>
            </w: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osnivaju institucije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883997E" w14:textId="4386F549" w:rsidR="009F5F1F" w:rsidRPr="008E2B74" w:rsidRDefault="00801EEC" w:rsidP="00DC0AA0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Nacrt z</w:t>
            </w:r>
            <w:r w:rsidR="009F5F1F"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akona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DD47316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CA848F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1DC754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Nema prethodne procjene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561641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Izrađena analiza i Nacrt zakona upućen na usvajanje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3D9794" w14:textId="30CE6118" w:rsidR="009F5F1F" w:rsidRPr="008E2B74" w:rsidRDefault="00DC0AA0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Izrađena informacija o primjeni</w:t>
            </w:r>
          </w:p>
        </w:tc>
      </w:tr>
      <w:tr w:rsidR="009F5F1F" w:rsidRPr="008E2B74" w14:paraId="2911B097" w14:textId="77777777" w:rsidTr="00DC0AA0">
        <w:tc>
          <w:tcPr>
            <w:tcW w:w="4644" w:type="dxa"/>
            <w:shd w:val="clear" w:color="auto" w:fill="FFF2CC" w:themeFill="accent4" w:themeFillTint="33"/>
            <w:vAlign w:val="center"/>
          </w:tcPr>
          <w:p w14:paraId="42C152C6" w14:textId="0F2ED12A" w:rsidR="009F5F1F" w:rsidRPr="008E2B74" w:rsidRDefault="009F5F1F" w:rsidP="00DC0AA0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2.2.1.12 Izrada i upućivanje u proceduru usvajanja Poslovnika o radu Vijeća ministara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C3D6FFE" w14:textId="6FC8A09D" w:rsidR="009F5F1F" w:rsidRPr="008E2B74" w:rsidRDefault="009F5F1F" w:rsidP="00591B02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Prijedlog </w:t>
            </w:r>
            <w:r w:rsidR="00801EEC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</w:t>
            </w:r>
            <w:r w:rsid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oslovnika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F0F89F7" w14:textId="7777777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597F96" w14:textId="5D5C9127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Poslovnik o radu VM BiH </w:t>
            </w:r>
            <w:r w:rsidR="00DC0AA0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upućen</w:t>
            </w: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na usvajanje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E70262" w14:textId="05BDA73C" w:rsidR="009F5F1F" w:rsidRPr="008E2B74" w:rsidRDefault="00DC0AA0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Prijedlog </w:t>
            </w:r>
            <w:r w:rsidR="00801EEC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</w:t>
            </w: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oslovnika o radu Vijeća ministara BiH 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upućen</w:t>
            </w:r>
            <w:r w:rsidR="009F5F1F"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na usvajanje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BB335A" w14:textId="43397AF5" w:rsidR="009F5F1F" w:rsidRPr="008E2B74" w:rsidRDefault="009F5F1F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8E2B74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Izrađena informacija o primjeni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62B942" w14:textId="5F5DD383" w:rsidR="009F5F1F" w:rsidRPr="008E2B74" w:rsidRDefault="00DC0AA0" w:rsidP="00DC0AA0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Izrađena informacija o primjeni</w:t>
            </w:r>
          </w:p>
        </w:tc>
      </w:tr>
    </w:tbl>
    <w:p w14:paraId="1231BE67" w14:textId="77777777" w:rsidR="009F5F1F" w:rsidRPr="00C77FF0" w:rsidRDefault="009F5F1F" w:rsidP="00450B5C">
      <w:pPr>
        <w:spacing w:after="0" w:line="240" w:lineRule="auto"/>
        <w:rPr>
          <w:sz w:val="24"/>
          <w:szCs w:val="24"/>
        </w:rPr>
      </w:pPr>
      <w:r w:rsidRPr="00C77FF0">
        <w:rPr>
          <w:sz w:val="24"/>
          <w:szCs w:val="24"/>
        </w:rPr>
        <w:br w:type="page"/>
      </w:r>
    </w:p>
    <w:tbl>
      <w:tblPr>
        <w:tblStyle w:val="TableGrid1"/>
        <w:tblpPr w:leftFromText="180" w:rightFromText="180" w:vertAnchor="text" w:horzAnchor="margin" w:tblpX="-39" w:tblpY="137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4644"/>
        <w:gridCol w:w="1276"/>
        <w:gridCol w:w="992"/>
        <w:gridCol w:w="1418"/>
        <w:gridCol w:w="1843"/>
        <w:gridCol w:w="1984"/>
        <w:gridCol w:w="2126"/>
      </w:tblGrid>
      <w:tr w:rsidR="00271B5F" w:rsidRPr="00271B5F" w14:paraId="30EF23F1" w14:textId="77777777" w:rsidTr="00271B5F">
        <w:tc>
          <w:tcPr>
            <w:tcW w:w="4644" w:type="dxa"/>
            <w:shd w:val="clear" w:color="auto" w:fill="44546A" w:themeFill="text2"/>
            <w:vAlign w:val="center"/>
          </w:tcPr>
          <w:p w14:paraId="6B828416" w14:textId="77777777" w:rsidR="009F5F1F" w:rsidRPr="00271B5F" w:rsidRDefault="009F5F1F" w:rsidP="00271B5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lastRenderedPageBreak/>
              <w:t>Projekti</w:t>
            </w:r>
          </w:p>
          <w:p w14:paraId="084B84C2" w14:textId="77777777" w:rsidR="009F5F1F" w:rsidRPr="00271B5F" w:rsidRDefault="009F5F1F" w:rsidP="00271B5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Programa 2.2.1</w:t>
            </w:r>
          </w:p>
          <w:p w14:paraId="7C5DF008" w14:textId="77777777" w:rsidR="009F5F1F" w:rsidRPr="00271B5F" w:rsidRDefault="009F5F1F" w:rsidP="00271B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Unapređenje zakonodavnog okvira, kapaciteta i vođenja upravnog postupka</w:t>
            </w:r>
          </w:p>
        </w:tc>
        <w:tc>
          <w:tcPr>
            <w:tcW w:w="1276" w:type="dxa"/>
            <w:shd w:val="clear" w:color="auto" w:fill="44546A" w:themeFill="text2"/>
            <w:vAlign w:val="center"/>
          </w:tcPr>
          <w:p w14:paraId="79598871" w14:textId="77777777" w:rsidR="009F5F1F" w:rsidRPr="00271B5F" w:rsidRDefault="009F5F1F" w:rsidP="00271B5F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Pokazatelj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4080FD53" w14:textId="77777777" w:rsidR="009F5F1F" w:rsidRPr="00271B5F" w:rsidRDefault="009F5F1F" w:rsidP="00271B5F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Jedinica</w:t>
            </w:r>
          </w:p>
          <w:p w14:paraId="4E14B071" w14:textId="77777777" w:rsidR="009F5F1F" w:rsidRPr="00271B5F" w:rsidRDefault="009F5F1F" w:rsidP="00271B5F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mjerenja</w:t>
            </w:r>
          </w:p>
        </w:tc>
        <w:tc>
          <w:tcPr>
            <w:tcW w:w="1418" w:type="dxa"/>
            <w:shd w:val="clear" w:color="auto" w:fill="44546A" w:themeFill="text2"/>
            <w:vAlign w:val="center"/>
          </w:tcPr>
          <w:p w14:paraId="18FB1E55" w14:textId="090731E8" w:rsidR="009F5F1F" w:rsidRPr="00271B5F" w:rsidRDefault="009F5F1F" w:rsidP="00271B5F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2015</w:t>
            </w:r>
            <w:r w:rsidR="00271B5F"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  <w:p w14:paraId="6BA204BD" w14:textId="77777777" w:rsidR="009F5F1F" w:rsidRPr="00271B5F" w:rsidRDefault="009F5F1F" w:rsidP="00271B5F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Polazna vrijednost</w:t>
            </w:r>
          </w:p>
        </w:tc>
        <w:tc>
          <w:tcPr>
            <w:tcW w:w="1843" w:type="dxa"/>
            <w:shd w:val="clear" w:color="auto" w:fill="44546A" w:themeFill="text2"/>
            <w:vAlign w:val="center"/>
          </w:tcPr>
          <w:p w14:paraId="3EEBFC87" w14:textId="741241E8" w:rsidR="009F5F1F" w:rsidRPr="00271B5F" w:rsidRDefault="009F5F1F" w:rsidP="00271B5F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2016</w:t>
            </w:r>
            <w:r w:rsidR="00271B5F"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1984" w:type="dxa"/>
            <w:shd w:val="clear" w:color="auto" w:fill="44546A" w:themeFill="text2"/>
            <w:vAlign w:val="center"/>
          </w:tcPr>
          <w:p w14:paraId="5EC66469" w14:textId="7B775D0F" w:rsidR="009F5F1F" w:rsidRPr="00271B5F" w:rsidRDefault="009F5F1F" w:rsidP="00271B5F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2017</w:t>
            </w:r>
            <w:r w:rsidR="00271B5F"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2126" w:type="dxa"/>
            <w:shd w:val="clear" w:color="auto" w:fill="44546A" w:themeFill="text2"/>
            <w:vAlign w:val="center"/>
          </w:tcPr>
          <w:p w14:paraId="2FF816D5" w14:textId="2D3A0B5A" w:rsidR="009F5F1F" w:rsidRPr="00271B5F" w:rsidRDefault="009F5F1F" w:rsidP="00271B5F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2018</w:t>
            </w:r>
            <w:r w:rsidR="00271B5F"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</w:tr>
      <w:tr w:rsidR="009F5F1F" w:rsidRPr="00271B5F" w14:paraId="3A28AE03" w14:textId="77777777" w:rsidTr="00591B02">
        <w:tc>
          <w:tcPr>
            <w:tcW w:w="4644" w:type="dxa"/>
            <w:shd w:val="clear" w:color="auto" w:fill="FFF2CC" w:themeFill="accent4" w:themeFillTint="33"/>
            <w:vAlign w:val="center"/>
          </w:tcPr>
          <w:p w14:paraId="09BB9824" w14:textId="77777777" w:rsidR="009F5F1F" w:rsidRPr="00271B5F" w:rsidRDefault="009F5F1F" w:rsidP="00591B02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2.2.1.13 Izrada i upućivanje u proceduru usvaja</w:t>
            </w:r>
            <w:r w:rsidR="00D503B5"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nja Odluke o uslovima, kriterijima</w:t>
            </w: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i načinu korištenja godišnjeg odmora za državne službenike i zaposlenike u institucijama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BE06089" w14:textId="09E371F3" w:rsidR="009F5F1F" w:rsidRPr="00271B5F" w:rsidRDefault="00801EEC" w:rsidP="00271B5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Prijedlog o</w:t>
            </w:r>
            <w:r w:rsidR="009F5F1F"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dluke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D6123C4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86708F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Zakon o radu u institucijama BiH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275497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Izrađena Odluka i upućena VM BiH na usvajanje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AC59DB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primjeni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0A259A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primjeni </w:t>
            </w:r>
          </w:p>
        </w:tc>
      </w:tr>
      <w:tr w:rsidR="009F5F1F" w:rsidRPr="00271B5F" w14:paraId="688F5BBA" w14:textId="77777777" w:rsidTr="00591B02">
        <w:tc>
          <w:tcPr>
            <w:tcW w:w="4644" w:type="dxa"/>
            <w:shd w:val="clear" w:color="auto" w:fill="FFF2CC" w:themeFill="accent4" w:themeFillTint="33"/>
            <w:vAlign w:val="center"/>
          </w:tcPr>
          <w:p w14:paraId="16B273D0" w14:textId="0709D60A" w:rsidR="009F5F1F" w:rsidRPr="00271B5F" w:rsidRDefault="009F5F1F" w:rsidP="00591B02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2.2.1.14 Izrada i upućivanje u proceduru usvajanja Odluke o u</w:t>
            </w:r>
            <w:r w:rsidR="00D503B5"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slovima</w:t>
            </w: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, </w:t>
            </w:r>
            <w:r w:rsidR="00D503B5"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kriterijima</w:t>
            </w: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D503B5"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načinu korištenja godišnjih odmora za izabrana i imenovana </w:t>
            </w:r>
            <w:r w:rsidR="00DC0AA0"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osoba</w:t>
            </w: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i njihove savjetnike u VM, službama, organima i institucijama VM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89A4018" w14:textId="42F9C3AA" w:rsidR="009F5F1F" w:rsidRPr="00271B5F" w:rsidRDefault="00801EEC" w:rsidP="00271B5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Prijedlog o</w:t>
            </w:r>
            <w:r w:rsidR="009F5F1F"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dluke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10B7D98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83796F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Zakon o radu u institucijama BiH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3B8FC5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Izrađena Odluka i upućena VM BiH na usvajanje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E545B6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primjeni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D9D593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primjeni </w:t>
            </w:r>
          </w:p>
        </w:tc>
      </w:tr>
      <w:tr w:rsidR="009F5F1F" w:rsidRPr="00271B5F" w14:paraId="2B60E256" w14:textId="77777777" w:rsidTr="00591B02">
        <w:tc>
          <w:tcPr>
            <w:tcW w:w="4644" w:type="dxa"/>
            <w:shd w:val="clear" w:color="auto" w:fill="FFF2CC" w:themeFill="accent4" w:themeFillTint="33"/>
            <w:vAlign w:val="center"/>
          </w:tcPr>
          <w:p w14:paraId="51B9832F" w14:textId="7CC86D22" w:rsidR="009F5F1F" w:rsidRPr="00271B5F" w:rsidRDefault="009F5F1F" w:rsidP="00591B02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2.2.1.15 Izrada i upućivanje u proceduru usvajanja Pravilnika o izmjenama i dopunama Pravilnika o n</w:t>
            </w:r>
            <w:r w:rsidR="00801EEC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ačinu vođenja registra udruženja</w:t>
            </w: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i fondacija BiH </w:t>
            </w:r>
            <w:r w:rsidR="00801EEC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 stranih međunarodnih udruženja</w:t>
            </w: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i fondacija i drugih neprofitnih organizacija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85B2725" w14:textId="21A9734A" w:rsidR="009F5F1F" w:rsidRPr="00271B5F" w:rsidRDefault="00801EEC" w:rsidP="00271B5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Prijedlog p</w:t>
            </w:r>
            <w:r w:rsidR="009F5F1F"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ravilnika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2B87EFA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E60919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Raniji Pravilnik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5B37E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 Pravilnik i upućena VM BiH na usvajanje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8B0DB8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primjeni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6B66BF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primjeni </w:t>
            </w:r>
          </w:p>
        </w:tc>
      </w:tr>
      <w:tr w:rsidR="009F5F1F" w:rsidRPr="00271B5F" w14:paraId="477E217A" w14:textId="77777777" w:rsidTr="00591B02">
        <w:tc>
          <w:tcPr>
            <w:tcW w:w="4644" w:type="dxa"/>
            <w:shd w:val="clear" w:color="auto" w:fill="FFF2CC" w:themeFill="accent4" w:themeFillTint="33"/>
            <w:vAlign w:val="center"/>
          </w:tcPr>
          <w:p w14:paraId="64DC4803" w14:textId="173DBF7B" w:rsidR="009F5F1F" w:rsidRPr="00271B5F" w:rsidRDefault="009F5F1F" w:rsidP="00591B02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2.2.1.16 Izrada i upućivanje u proceduru usvajanja Pravilnika o način</w:t>
            </w:r>
            <w:r w:rsidR="00801EEC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 vođenja registra pravnih lica koja</w:t>
            </w: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osnivaju institucije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D727F8C" w14:textId="51E6857D" w:rsidR="009F5F1F" w:rsidRPr="00271B5F" w:rsidRDefault="009F5F1F" w:rsidP="00271B5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Prijedlog</w:t>
            </w:r>
            <w:r w:rsidR="00801EEC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p</w:t>
            </w: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ravilnika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0C021D9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8389EE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Nema prethodne analiza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A18EB5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Izrađena analiza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043BA8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 Pravilnik i upućena VM BiH na usvajanje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FB3DB4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Izrađena informacija o primjeni </w:t>
            </w:r>
          </w:p>
        </w:tc>
      </w:tr>
      <w:tr w:rsidR="009F5F1F" w:rsidRPr="00271B5F" w14:paraId="3121C7F4" w14:textId="77777777" w:rsidTr="00591B02">
        <w:tc>
          <w:tcPr>
            <w:tcW w:w="4644" w:type="dxa"/>
            <w:shd w:val="clear" w:color="auto" w:fill="FFF2CC" w:themeFill="accent4" w:themeFillTint="33"/>
            <w:vAlign w:val="center"/>
          </w:tcPr>
          <w:p w14:paraId="7C1EDCE2" w14:textId="77777777" w:rsidR="009F5F1F" w:rsidRPr="00271B5F" w:rsidRDefault="009F5F1F" w:rsidP="00591B02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2.2.1.17 Upravno rješavanje i davanje mišljenja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219A07C" w14:textId="39572DF4" w:rsidR="009F5F1F" w:rsidRPr="00271B5F" w:rsidRDefault="00D503B5" w:rsidP="00271B5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9F5F1F"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F536FF1" w14:textId="447A8561" w:rsidR="009F5F1F" w:rsidRPr="00271B5F" w:rsidRDefault="00271B5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B0A208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853697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832D11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E4F91D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8</w:t>
            </w:r>
          </w:p>
        </w:tc>
      </w:tr>
      <w:tr w:rsidR="009F5F1F" w:rsidRPr="00271B5F" w14:paraId="1CFBDBF7" w14:textId="77777777" w:rsidTr="00591B02">
        <w:tc>
          <w:tcPr>
            <w:tcW w:w="4644" w:type="dxa"/>
            <w:shd w:val="clear" w:color="auto" w:fill="FFF2CC" w:themeFill="accent4" w:themeFillTint="33"/>
            <w:vAlign w:val="center"/>
          </w:tcPr>
          <w:p w14:paraId="28132B5F" w14:textId="32EF6170" w:rsidR="009F5F1F" w:rsidRPr="00271B5F" w:rsidRDefault="009F5F1F" w:rsidP="00591B02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2.2.1.18 Provođenje aktivnosti p</w:t>
            </w:r>
            <w:r w:rsidR="00801EEC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redviđenih revidiranim Akcionim</w:t>
            </w: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planom Strategije za reformu javne uprave u smislu zadovoljstva korisnika usluga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629BA0" w14:textId="77777777" w:rsidR="009F5F1F" w:rsidRPr="00271B5F" w:rsidRDefault="00D503B5" w:rsidP="00271B5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Informativno </w:t>
            </w:r>
            <w:r w:rsidR="009F5F1F"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B42BF68" w14:textId="7B71D0E9" w:rsidR="009F5F1F" w:rsidRPr="00271B5F" w:rsidRDefault="00271B5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F7728E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517A15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4CC84A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F3F337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</w:t>
            </w:r>
          </w:p>
        </w:tc>
      </w:tr>
      <w:tr w:rsidR="009F5F1F" w:rsidRPr="00271B5F" w14:paraId="01A3E2DB" w14:textId="77777777" w:rsidTr="00591B02">
        <w:tc>
          <w:tcPr>
            <w:tcW w:w="4644" w:type="dxa"/>
            <w:shd w:val="clear" w:color="auto" w:fill="FFF2CC" w:themeFill="accent4" w:themeFillTint="33"/>
            <w:vAlign w:val="center"/>
          </w:tcPr>
          <w:p w14:paraId="6597B47B" w14:textId="77777777" w:rsidR="009F5F1F" w:rsidRPr="00271B5F" w:rsidRDefault="009F5F1F" w:rsidP="00591B02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2.2.1.19 Jačanje kapaciteta MP BiH za upravno rješavanje i davanje mišljenja</w:t>
            </w:r>
            <w:r w:rsidRPr="00271B5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bs-Latn-BA"/>
              </w:rPr>
              <w:footnoteReference w:id="22"/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E037CBC" w14:textId="77777777" w:rsidR="009F5F1F" w:rsidRPr="00271B5F" w:rsidRDefault="009F5F1F" w:rsidP="00271B5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/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EF1D05B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29A58D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7FC6CF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/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8652E1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3D392D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/</w:t>
            </w:r>
          </w:p>
        </w:tc>
      </w:tr>
      <w:tr w:rsidR="009F5F1F" w:rsidRPr="00271B5F" w14:paraId="4CC3F84C" w14:textId="77777777" w:rsidTr="00591B02">
        <w:tc>
          <w:tcPr>
            <w:tcW w:w="4644" w:type="dxa"/>
            <w:shd w:val="clear" w:color="auto" w:fill="FFF2CC" w:themeFill="accent4" w:themeFillTint="33"/>
            <w:vAlign w:val="center"/>
          </w:tcPr>
          <w:p w14:paraId="34582C69" w14:textId="77777777" w:rsidR="009F5F1F" w:rsidRPr="00271B5F" w:rsidRDefault="009F5F1F" w:rsidP="00591B02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2.2.1.20 Polaganje stručnog upravnog ispita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12D01D9" w14:textId="5F4817E1" w:rsidR="009F5F1F" w:rsidRPr="00271B5F" w:rsidRDefault="00D503B5" w:rsidP="00271B5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9F5F1F"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DDD0F7C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F4B1BB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3A60A7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90AB12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653F21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</w:tr>
      <w:tr w:rsidR="00271B5F" w:rsidRPr="00271B5F" w14:paraId="37634FB7" w14:textId="77777777" w:rsidTr="00271B5F">
        <w:tc>
          <w:tcPr>
            <w:tcW w:w="4644" w:type="dxa"/>
            <w:shd w:val="clear" w:color="auto" w:fill="44546A" w:themeFill="text2"/>
            <w:vAlign w:val="center"/>
          </w:tcPr>
          <w:p w14:paraId="3B6EF70A" w14:textId="77777777" w:rsidR="009F5F1F" w:rsidRPr="00271B5F" w:rsidRDefault="009F5F1F" w:rsidP="00271B5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Projekti</w:t>
            </w:r>
            <w:r w:rsidRPr="00271B5F">
              <w:rPr>
                <w:rStyle w:val="FootnoteReference"/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footnoteReference w:id="23"/>
            </w:r>
          </w:p>
          <w:p w14:paraId="6E4F5600" w14:textId="77777777" w:rsidR="009F5F1F" w:rsidRPr="00271B5F" w:rsidRDefault="009F5F1F" w:rsidP="00271B5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Programa 2.2.2</w:t>
            </w:r>
          </w:p>
          <w:p w14:paraId="42FA8DDB" w14:textId="77777777" w:rsidR="009F5F1F" w:rsidRPr="00271B5F" w:rsidRDefault="009F5F1F" w:rsidP="00271B5F">
            <w:pPr>
              <w:spacing w:before="60" w:after="60"/>
              <w:ind w:left="1" w:right="27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Provođenje </w:t>
            </w:r>
            <w:r w:rsidR="00D503B5" w:rsidRPr="00271B5F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inspekcijskoga</w:t>
            </w:r>
            <w:r w:rsidRPr="00271B5F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nadzora</w:t>
            </w:r>
          </w:p>
        </w:tc>
        <w:tc>
          <w:tcPr>
            <w:tcW w:w="1276" w:type="dxa"/>
            <w:shd w:val="clear" w:color="auto" w:fill="44546A" w:themeFill="text2"/>
            <w:vAlign w:val="center"/>
          </w:tcPr>
          <w:p w14:paraId="7E0A2306" w14:textId="77777777" w:rsidR="009F5F1F" w:rsidRPr="00271B5F" w:rsidRDefault="009F5F1F" w:rsidP="00271B5F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Pokazatelj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7538F8C2" w14:textId="77777777" w:rsidR="009F5F1F" w:rsidRPr="00271B5F" w:rsidRDefault="009F5F1F" w:rsidP="00271B5F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Jedinica</w:t>
            </w:r>
          </w:p>
          <w:p w14:paraId="34FD5336" w14:textId="77777777" w:rsidR="009F5F1F" w:rsidRPr="00271B5F" w:rsidRDefault="009F5F1F" w:rsidP="00271B5F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mjerenja</w:t>
            </w:r>
          </w:p>
        </w:tc>
        <w:tc>
          <w:tcPr>
            <w:tcW w:w="1418" w:type="dxa"/>
            <w:shd w:val="clear" w:color="auto" w:fill="44546A" w:themeFill="text2"/>
            <w:vAlign w:val="center"/>
          </w:tcPr>
          <w:p w14:paraId="3AF4010F" w14:textId="6799D905" w:rsidR="009F5F1F" w:rsidRPr="00271B5F" w:rsidRDefault="009F5F1F" w:rsidP="00271B5F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2015</w:t>
            </w:r>
            <w:r w:rsidR="00271B5F"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  <w:p w14:paraId="18F37A59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Polazna vrijednost</w:t>
            </w:r>
          </w:p>
        </w:tc>
        <w:tc>
          <w:tcPr>
            <w:tcW w:w="1843" w:type="dxa"/>
            <w:shd w:val="clear" w:color="auto" w:fill="44546A" w:themeFill="text2"/>
            <w:vAlign w:val="center"/>
          </w:tcPr>
          <w:p w14:paraId="74EFA06E" w14:textId="14277D7F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2016</w:t>
            </w:r>
            <w:r w:rsidR="00271B5F"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1984" w:type="dxa"/>
            <w:shd w:val="clear" w:color="auto" w:fill="44546A" w:themeFill="text2"/>
            <w:vAlign w:val="center"/>
          </w:tcPr>
          <w:p w14:paraId="36527FA0" w14:textId="4A061B19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2017</w:t>
            </w:r>
            <w:r w:rsidR="00271B5F"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2126" w:type="dxa"/>
            <w:shd w:val="clear" w:color="auto" w:fill="44546A" w:themeFill="text2"/>
            <w:vAlign w:val="center"/>
          </w:tcPr>
          <w:p w14:paraId="16796B94" w14:textId="674A5D21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2018</w:t>
            </w:r>
            <w:r w:rsidR="00271B5F" w:rsidRPr="00271B5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</w:tr>
      <w:tr w:rsidR="009F5F1F" w:rsidRPr="00271B5F" w14:paraId="2DAEDD8C" w14:textId="77777777" w:rsidTr="00591B02">
        <w:tc>
          <w:tcPr>
            <w:tcW w:w="4644" w:type="dxa"/>
            <w:shd w:val="clear" w:color="auto" w:fill="FFF2CC" w:themeFill="accent4" w:themeFillTint="33"/>
            <w:vAlign w:val="center"/>
          </w:tcPr>
          <w:p w14:paraId="05C331E5" w14:textId="77777777" w:rsidR="009F5F1F" w:rsidRPr="00271B5F" w:rsidRDefault="009F5F1F" w:rsidP="00591B02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2.2.2.1 Poboljšanje </w:t>
            </w:r>
            <w:r w:rsidR="00D503B5"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inspekcijskoga</w:t>
            </w: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nadzora kroz edukaciju i povećanje broja inspektora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BC1257D" w14:textId="6BC8FB43" w:rsidR="009F5F1F" w:rsidRPr="00271B5F" w:rsidRDefault="00D503B5" w:rsidP="00271B5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9F5F1F"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DBAF9B9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471D7B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55F7DB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00C05E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A99A3C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</w:tr>
      <w:tr w:rsidR="009F5F1F" w:rsidRPr="00271B5F" w14:paraId="5AC78057" w14:textId="77777777" w:rsidTr="00591B02">
        <w:tc>
          <w:tcPr>
            <w:tcW w:w="4644" w:type="dxa"/>
            <w:shd w:val="clear" w:color="auto" w:fill="FFF2CC" w:themeFill="accent4" w:themeFillTint="33"/>
            <w:vAlign w:val="center"/>
          </w:tcPr>
          <w:p w14:paraId="217BA329" w14:textId="77777777" w:rsidR="009F5F1F" w:rsidRPr="00271B5F" w:rsidRDefault="009F5F1F" w:rsidP="00591B02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2.2.2.2 Praćenje provedbe zakona i podzakonskih akata u institucijama BiH iz nadležnosti upravne inspekcije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75038F2" w14:textId="77777777" w:rsidR="009F5F1F" w:rsidRPr="00271B5F" w:rsidRDefault="009F5F1F" w:rsidP="00271B5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Ukupnost inspekcijskih nadzora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D68A9B6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CB5CC8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0F3E87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201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BF0BF2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4EA0F3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235</w:t>
            </w:r>
          </w:p>
        </w:tc>
      </w:tr>
      <w:tr w:rsidR="009F5F1F" w:rsidRPr="00271B5F" w14:paraId="5E52176C" w14:textId="77777777" w:rsidTr="00591B02">
        <w:tc>
          <w:tcPr>
            <w:tcW w:w="4644" w:type="dxa"/>
            <w:shd w:val="clear" w:color="auto" w:fill="FFF2CC" w:themeFill="accent4" w:themeFillTint="33"/>
            <w:vAlign w:val="center"/>
          </w:tcPr>
          <w:p w14:paraId="333FF052" w14:textId="77777777" w:rsidR="009F5F1F" w:rsidRPr="00271B5F" w:rsidRDefault="009F5F1F" w:rsidP="00591B02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2.2.2.3 Izrada i podnošenje godišnjeg zbirnog izvještaja upravnog rješavanja u institucijama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EB4310F" w14:textId="185C2218" w:rsidR="009F5F1F" w:rsidRPr="00271B5F" w:rsidRDefault="00D503B5" w:rsidP="00271B5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9F5F1F"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EE0B53B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95D368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F24874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8C53BF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8BB22A" w14:textId="77777777" w:rsidR="009F5F1F" w:rsidRPr="00271B5F" w:rsidRDefault="009F5F1F" w:rsidP="00271B5F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71B5F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</w:tr>
    </w:tbl>
    <w:p w14:paraId="36FEB5B0" w14:textId="77777777" w:rsidR="009F5F1F" w:rsidRPr="00C77FF0" w:rsidRDefault="009F5F1F" w:rsidP="00591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FF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1"/>
        <w:tblpPr w:leftFromText="180" w:rightFromText="180" w:vertAnchor="text" w:horzAnchor="margin" w:tblpX="-39" w:tblpY="137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4644"/>
        <w:gridCol w:w="1276"/>
        <w:gridCol w:w="992"/>
        <w:gridCol w:w="1418"/>
        <w:gridCol w:w="1843"/>
        <w:gridCol w:w="1984"/>
        <w:gridCol w:w="2126"/>
      </w:tblGrid>
      <w:tr w:rsidR="00591B02" w:rsidRPr="00591B02" w14:paraId="29BAADDE" w14:textId="77777777" w:rsidTr="00591B02">
        <w:tc>
          <w:tcPr>
            <w:tcW w:w="4644" w:type="dxa"/>
            <w:shd w:val="clear" w:color="auto" w:fill="44546A" w:themeFill="text2"/>
            <w:vAlign w:val="center"/>
          </w:tcPr>
          <w:p w14:paraId="160D4FC0" w14:textId="77777777" w:rsidR="009F5F1F" w:rsidRPr="00591B02" w:rsidRDefault="009F5F1F" w:rsidP="00591B0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lastRenderedPageBreak/>
              <w:t>Projekti</w:t>
            </w:r>
            <w:r w:rsidRPr="00591B02">
              <w:rPr>
                <w:rStyle w:val="FootnoteReference"/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footnoteReference w:id="24"/>
            </w:r>
          </w:p>
          <w:p w14:paraId="0DD5C11B" w14:textId="77777777" w:rsidR="009F5F1F" w:rsidRPr="00591B02" w:rsidRDefault="009F5F1F" w:rsidP="00591B0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Programa 2.3.1</w:t>
            </w:r>
            <w:r w:rsidRPr="00591B02">
              <w:rPr>
                <w:rStyle w:val="FootnoteReference"/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footnoteReference w:id="25"/>
            </w:r>
          </w:p>
          <w:p w14:paraId="2C5AA04D" w14:textId="77777777" w:rsidR="009F5F1F" w:rsidRPr="00591B02" w:rsidRDefault="009F5F1F" w:rsidP="00591B0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Upravljanje i koordinacija u sektoru pravde u BiH</w:t>
            </w:r>
          </w:p>
        </w:tc>
        <w:tc>
          <w:tcPr>
            <w:tcW w:w="1276" w:type="dxa"/>
            <w:shd w:val="clear" w:color="auto" w:fill="44546A" w:themeFill="text2"/>
            <w:vAlign w:val="center"/>
          </w:tcPr>
          <w:p w14:paraId="76D75176" w14:textId="77777777" w:rsidR="009F5F1F" w:rsidRPr="00591B02" w:rsidRDefault="009F5F1F" w:rsidP="00591B02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Pokazatelj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3F5A71E5" w14:textId="77777777" w:rsidR="009F5F1F" w:rsidRPr="00591B02" w:rsidRDefault="009F5F1F" w:rsidP="00591B02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Jedinica</w:t>
            </w:r>
          </w:p>
          <w:p w14:paraId="63F13645" w14:textId="77777777" w:rsidR="009F5F1F" w:rsidRPr="00591B02" w:rsidRDefault="009F5F1F" w:rsidP="00591B02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mjerenja</w:t>
            </w:r>
          </w:p>
        </w:tc>
        <w:tc>
          <w:tcPr>
            <w:tcW w:w="1418" w:type="dxa"/>
            <w:shd w:val="clear" w:color="auto" w:fill="44546A" w:themeFill="text2"/>
            <w:vAlign w:val="center"/>
          </w:tcPr>
          <w:p w14:paraId="07A8DB46" w14:textId="11A2635B" w:rsidR="009F5F1F" w:rsidRPr="00591B02" w:rsidRDefault="009F5F1F" w:rsidP="00591B02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2015</w:t>
            </w:r>
            <w:r w:rsidR="00591B0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  <w:p w14:paraId="401BBF5F" w14:textId="77777777" w:rsidR="009F5F1F" w:rsidRPr="00591B02" w:rsidRDefault="009F5F1F" w:rsidP="00591B02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Polazna vrijednost</w:t>
            </w:r>
          </w:p>
        </w:tc>
        <w:tc>
          <w:tcPr>
            <w:tcW w:w="1843" w:type="dxa"/>
            <w:shd w:val="clear" w:color="auto" w:fill="44546A" w:themeFill="text2"/>
            <w:vAlign w:val="center"/>
          </w:tcPr>
          <w:p w14:paraId="1B8AB646" w14:textId="1DCA4811" w:rsidR="009F5F1F" w:rsidRPr="00591B02" w:rsidRDefault="009F5F1F" w:rsidP="00591B02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2016</w:t>
            </w:r>
            <w:r w:rsidR="00591B0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1984" w:type="dxa"/>
            <w:shd w:val="clear" w:color="auto" w:fill="44546A" w:themeFill="text2"/>
            <w:vAlign w:val="center"/>
          </w:tcPr>
          <w:p w14:paraId="46618CE8" w14:textId="743B7BE1" w:rsidR="009F5F1F" w:rsidRPr="00591B02" w:rsidRDefault="009F5F1F" w:rsidP="00591B02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2017</w:t>
            </w:r>
            <w:r w:rsidR="00591B0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  <w:r w:rsidRPr="00591B02">
              <w:rPr>
                <w:rStyle w:val="FootnoteReference"/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footnoteReference w:id="26"/>
            </w:r>
          </w:p>
        </w:tc>
        <w:tc>
          <w:tcPr>
            <w:tcW w:w="2126" w:type="dxa"/>
            <w:shd w:val="clear" w:color="auto" w:fill="44546A" w:themeFill="text2"/>
            <w:vAlign w:val="center"/>
          </w:tcPr>
          <w:p w14:paraId="460DFA31" w14:textId="290C606C" w:rsidR="009F5F1F" w:rsidRPr="00591B02" w:rsidRDefault="009F5F1F" w:rsidP="00591B02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2018</w:t>
            </w:r>
            <w:r w:rsidR="00591B0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</w:tr>
      <w:tr w:rsidR="009F5F1F" w:rsidRPr="00591B02" w14:paraId="016D0870" w14:textId="77777777" w:rsidTr="00A201C8">
        <w:tc>
          <w:tcPr>
            <w:tcW w:w="4644" w:type="dxa"/>
            <w:shd w:val="clear" w:color="auto" w:fill="FFF2CC" w:themeFill="accent4" w:themeFillTint="33"/>
            <w:vAlign w:val="center"/>
          </w:tcPr>
          <w:p w14:paraId="4C26840C" w14:textId="77777777" w:rsidR="009F5F1F" w:rsidRPr="00591B02" w:rsidRDefault="009F5F1F" w:rsidP="00A201C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2.3.1.1 Koordinacija rada organizacionih jedinica MP BiH i odgovornost za korištenje finansijskih i materijalnih resursa i ljudskih potencijala MP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0C0262E" w14:textId="77777777" w:rsidR="009F5F1F" w:rsidRPr="00591B02" w:rsidRDefault="009F5F1F" w:rsidP="00591B02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Informacija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42D84B6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9E694B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Informacija o koordinaciji rada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D3BEBA" w14:textId="00B05C37" w:rsidR="009F5F1F" w:rsidRPr="00591B02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Izrađena informacija o koordinaciji rada i uvođenje</w:t>
            </w:r>
            <w:r w:rsidR="002E70AD"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 proc</w:t>
            </w:r>
            <w:r w:rsidR="002E70AD"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es</w:t>
            </w: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planiranja </w:t>
            </w:r>
            <w:r w:rsid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 </w:t>
            </w: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proslijeđena rukovodstvu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CEF451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Izrađena informacija proslijeđena rukovodstvu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67DA01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Izrađena informacija proslijeđena rukovodstvu</w:t>
            </w:r>
          </w:p>
        </w:tc>
      </w:tr>
      <w:tr w:rsidR="009F5F1F" w:rsidRPr="00591B02" w14:paraId="4F610B44" w14:textId="77777777" w:rsidTr="00A201C8">
        <w:tc>
          <w:tcPr>
            <w:tcW w:w="4644" w:type="dxa"/>
            <w:shd w:val="clear" w:color="auto" w:fill="FFF2CC" w:themeFill="accent4" w:themeFillTint="33"/>
            <w:vAlign w:val="center"/>
          </w:tcPr>
          <w:p w14:paraId="0CB05B36" w14:textId="77777777" w:rsidR="009F5F1F" w:rsidRPr="00591B02" w:rsidRDefault="009F5F1F" w:rsidP="00A201C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2.3.1.2 Izrada planskih dokumenata i izvještaja o radu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2649F02" w14:textId="08CE6B9F" w:rsidR="009F5F1F" w:rsidRPr="00591B02" w:rsidRDefault="002E70AD" w:rsidP="00591B02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9F5F1F"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DB0AF56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91EBB6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5B5F8E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1F0E1D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204978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</w:tr>
      <w:tr w:rsidR="009F5F1F" w:rsidRPr="00591B02" w14:paraId="673A55DE" w14:textId="77777777" w:rsidTr="00A201C8">
        <w:tc>
          <w:tcPr>
            <w:tcW w:w="4644" w:type="dxa"/>
            <w:shd w:val="clear" w:color="auto" w:fill="FFF2CC" w:themeFill="accent4" w:themeFillTint="33"/>
            <w:vAlign w:val="center"/>
          </w:tcPr>
          <w:p w14:paraId="0F864AC0" w14:textId="77777777" w:rsidR="009F5F1F" w:rsidRPr="00591B02" w:rsidRDefault="009F5F1F" w:rsidP="00A201C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2.3.1.3 </w:t>
            </w:r>
            <w:r w:rsidR="003E0E4A"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</w:t>
            </w: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kapaciteta SSPKPEI za izradu planskih dokumenata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DA171EA" w14:textId="77777777" w:rsidR="009F5F1F" w:rsidRPr="00591B02" w:rsidRDefault="009F5F1F" w:rsidP="00591B02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Agregirani postotak osoblja koje je prošlo obuku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E50E1C8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739EF0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43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8EA849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80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74B920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0B0297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100</w:t>
            </w:r>
          </w:p>
        </w:tc>
      </w:tr>
      <w:tr w:rsidR="009F5F1F" w:rsidRPr="00591B02" w14:paraId="228AEBD4" w14:textId="77777777" w:rsidTr="00A201C8">
        <w:tc>
          <w:tcPr>
            <w:tcW w:w="4644" w:type="dxa"/>
            <w:shd w:val="clear" w:color="auto" w:fill="FFF2CC" w:themeFill="accent4" w:themeFillTint="33"/>
            <w:vAlign w:val="center"/>
          </w:tcPr>
          <w:p w14:paraId="2933FAEB" w14:textId="77777777" w:rsidR="009F5F1F" w:rsidRPr="00591B02" w:rsidRDefault="009F5F1F" w:rsidP="00A201C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2.3.1.4 Uspostava instrumenata za upravljanje praćenja i ocjene provođenja SRSP u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C09B25C" w14:textId="72036ABB" w:rsidR="009F5F1F" w:rsidRPr="00591B02" w:rsidRDefault="002E70AD" w:rsidP="00591B02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9F5F1F"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44C9BA6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8FDE4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222898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4021AB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69B8B7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</w:tr>
      <w:tr w:rsidR="009F5F1F" w:rsidRPr="00591B02" w14:paraId="7CE1D080" w14:textId="77777777" w:rsidTr="00A201C8">
        <w:tc>
          <w:tcPr>
            <w:tcW w:w="4644" w:type="dxa"/>
            <w:shd w:val="clear" w:color="auto" w:fill="FFF2CC" w:themeFill="accent4" w:themeFillTint="33"/>
            <w:vAlign w:val="center"/>
          </w:tcPr>
          <w:p w14:paraId="6030AF75" w14:textId="77777777" w:rsidR="009F5F1F" w:rsidRPr="00591B02" w:rsidRDefault="009F5F1F" w:rsidP="00A201C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2.3.1.5 Održavanje redovnih sastanaka FRG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F64AA2A" w14:textId="77777777" w:rsidR="009F5F1F" w:rsidRPr="00591B02" w:rsidRDefault="002E70AD" w:rsidP="00591B02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Informativno </w:t>
            </w:r>
            <w:r w:rsidR="009F5F1F"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CFD07EF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22F59A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07C906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A4FFC0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6A9027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20</w:t>
            </w:r>
          </w:p>
        </w:tc>
      </w:tr>
      <w:tr w:rsidR="009F5F1F" w:rsidRPr="00591B02" w14:paraId="1356BBAD" w14:textId="77777777" w:rsidTr="00A201C8">
        <w:tc>
          <w:tcPr>
            <w:tcW w:w="4644" w:type="dxa"/>
            <w:shd w:val="clear" w:color="auto" w:fill="FFF2CC" w:themeFill="accent4" w:themeFillTint="33"/>
            <w:vAlign w:val="center"/>
          </w:tcPr>
          <w:p w14:paraId="71E98F4E" w14:textId="77777777" w:rsidR="009F5F1F" w:rsidRPr="00591B02" w:rsidRDefault="009F5F1F" w:rsidP="00A201C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2.3.1.6 Održavanje redovnih sastanaka TS SRSP u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FE4C60A" w14:textId="08228794" w:rsidR="009F5F1F" w:rsidRPr="00591B02" w:rsidRDefault="002E70AD" w:rsidP="00591B02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9F5F1F"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4BA09F0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C62623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55DCC4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C2995D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D048C6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4</w:t>
            </w:r>
          </w:p>
        </w:tc>
      </w:tr>
      <w:tr w:rsidR="009F5F1F" w:rsidRPr="00591B02" w14:paraId="78252ABE" w14:textId="77777777" w:rsidTr="00A201C8">
        <w:tc>
          <w:tcPr>
            <w:tcW w:w="4644" w:type="dxa"/>
            <w:shd w:val="clear" w:color="auto" w:fill="FFF2CC" w:themeFill="accent4" w:themeFillTint="33"/>
            <w:vAlign w:val="center"/>
          </w:tcPr>
          <w:p w14:paraId="442D9602" w14:textId="77777777" w:rsidR="009F5F1F" w:rsidRPr="00591B02" w:rsidRDefault="009F5F1F" w:rsidP="00A201C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2.3.1.7 Izrada povremenih izvještaja o provođenju SRSP u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BEA6331" w14:textId="2FB7E965" w:rsidR="009F5F1F" w:rsidRPr="00591B02" w:rsidRDefault="002E70AD" w:rsidP="00591B02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9F5F1F"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88C30A0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6C686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108F41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B28CDF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BCEBE9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4</w:t>
            </w:r>
          </w:p>
        </w:tc>
      </w:tr>
      <w:tr w:rsidR="009F5F1F" w:rsidRPr="00591B02" w14:paraId="20158886" w14:textId="77777777" w:rsidTr="00A201C8">
        <w:tc>
          <w:tcPr>
            <w:tcW w:w="4644" w:type="dxa"/>
            <w:shd w:val="clear" w:color="auto" w:fill="FFF2CC" w:themeFill="accent4" w:themeFillTint="33"/>
            <w:vAlign w:val="center"/>
          </w:tcPr>
          <w:p w14:paraId="18603594" w14:textId="77777777" w:rsidR="009F5F1F" w:rsidRPr="00591B02" w:rsidRDefault="009F5F1F" w:rsidP="00A201C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2.3.1.8 Održavanje MK ministara pravde i predsjednika VSTV BiH i PK BD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F4F48E4" w14:textId="77777777" w:rsidR="009F5F1F" w:rsidRPr="00591B02" w:rsidRDefault="002E70AD" w:rsidP="00591B02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Informativno </w:t>
            </w:r>
            <w:r w:rsidR="009F5F1F"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09D98BF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710760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4EA11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87E3DE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46A7AE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6</w:t>
            </w:r>
          </w:p>
        </w:tc>
      </w:tr>
      <w:tr w:rsidR="009F5F1F" w:rsidRPr="00591B02" w14:paraId="1B7D50BB" w14:textId="77777777" w:rsidTr="00A201C8">
        <w:tc>
          <w:tcPr>
            <w:tcW w:w="4644" w:type="dxa"/>
            <w:shd w:val="clear" w:color="auto" w:fill="FFF2CC" w:themeFill="accent4" w:themeFillTint="33"/>
            <w:vAlign w:val="center"/>
          </w:tcPr>
          <w:p w14:paraId="3776DDD8" w14:textId="2D1543F6" w:rsidR="009F5F1F" w:rsidRPr="00591B02" w:rsidRDefault="009F5F1F" w:rsidP="00A201C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2.3.1.9 Jačanje vještine članova FRG i TS SRSP u BiH za </w:t>
            </w:r>
            <w:r w:rsid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organizovanje</w:t>
            </w: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i podršku MK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E0CB50B" w14:textId="77777777" w:rsidR="009F5F1F" w:rsidRPr="00591B02" w:rsidRDefault="009F5F1F" w:rsidP="00591B02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Certifikati – postotak polaznika obuka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D52869B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74AF32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C8893D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A771A2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75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A05B6E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90</w:t>
            </w:r>
          </w:p>
        </w:tc>
      </w:tr>
      <w:tr w:rsidR="009F5F1F" w:rsidRPr="00591B02" w14:paraId="4C932E15" w14:textId="77777777" w:rsidTr="00A201C8">
        <w:tc>
          <w:tcPr>
            <w:tcW w:w="4644" w:type="dxa"/>
            <w:shd w:val="clear" w:color="auto" w:fill="FFF2CC" w:themeFill="accent4" w:themeFillTint="33"/>
            <w:vAlign w:val="center"/>
          </w:tcPr>
          <w:p w14:paraId="13B5C606" w14:textId="77777777" w:rsidR="009F5F1F" w:rsidRPr="00591B02" w:rsidRDefault="009F5F1F" w:rsidP="00A201C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2.3.1.10. </w:t>
            </w:r>
            <w:r w:rsidR="003E0E4A"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</w:t>
            </w: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saradnje između SSPKPEI i sličnih jedinica u sektoru pravde u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D602AE6" w14:textId="3D819D1C" w:rsidR="009F5F1F" w:rsidRPr="00591B02" w:rsidRDefault="002E70AD" w:rsidP="00591B02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9F5F1F"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5443269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CBCC91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5B4E72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5BD3FF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879993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</w:tr>
      <w:tr w:rsidR="009F5F1F" w:rsidRPr="00591B02" w14:paraId="622F2AE4" w14:textId="77777777" w:rsidTr="00A201C8">
        <w:tc>
          <w:tcPr>
            <w:tcW w:w="4644" w:type="dxa"/>
            <w:shd w:val="clear" w:color="auto" w:fill="FFF2CC" w:themeFill="accent4" w:themeFillTint="33"/>
            <w:vAlign w:val="center"/>
          </w:tcPr>
          <w:p w14:paraId="52578F9B" w14:textId="77777777" w:rsidR="009F5F1F" w:rsidRPr="00591B02" w:rsidRDefault="009F5F1F" w:rsidP="00A201C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2.3.1.11 Upravljanje ljudskim potencijalima</w:t>
            </w:r>
            <w:r w:rsidRPr="00591B02">
              <w:rPr>
                <w:rStyle w:val="FootnoteReference"/>
                <w:rFonts w:ascii="Times New Roman" w:hAnsi="Times New Roman" w:cs="Times New Roman"/>
                <w:sz w:val="18"/>
                <w:szCs w:val="18"/>
                <w:lang w:val="bs-Latn-BA"/>
              </w:rPr>
              <w:footnoteReference w:id="27"/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1DA4F8E" w14:textId="008239D4" w:rsidR="009F5F1F" w:rsidRPr="00591B02" w:rsidRDefault="009F5F1F" w:rsidP="00591B02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Postotak ažurnosti evidencija </w:t>
            </w:r>
            <w:r w:rsidR="00DC0AA0"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osoba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617B7B6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B8FAC1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DDE0E2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62C256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F386D3" w14:textId="77777777" w:rsidR="009F5F1F" w:rsidRPr="00591B02" w:rsidRDefault="009F5F1F" w:rsidP="00591B02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91B0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100</w:t>
            </w:r>
          </w:p>
        </w:tc>
      </w:tr>
    </w:tbl>
    <w:p w14:paraId="30D7AA69" w14:textId="77777777" w:rsidR="009F5F1F" w:rsidRPr="00C77FF0" w:rsidRDefault="009F5F1F" w:rsidP="00591B02">
      <w:pPr>
        <w:spacing w:after="0" w:line="240" w:lineRule="auto"/>
        <w:rPr>
          <w:sz w:val="24"/>
          <w:szCs w:val="24"/>
        </w:rPr>
      </w:pPr>
      <w:r w:rsidRPr="00C77FF0">
        <w:rPr>
          <w:sz w:val="24"/>
          <w:szCs w:val="24"/>
        </w:rPr>
        <w:br w:type="page"/>
      </w:r>
    </w:p>
    <w:tbl>
      <w:tblPr>
        <w:tblStyle w:val="TableGrid1"/>
        <w:tblpPr w:leftFromText="180" w:rightFromText="180" w:vertAnchor="text" w:horzAnchor="margin" w:tblpX="-39" w:tblpY="137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4644"/>
        <w:gridCol w:w="1276"/>
        <w:gridCol w:w="992"/>
        <w:gridCol w:w="1418"/>
        <w:gridCol w:w="1843"/>
        <w:gridCol w:w="1984"/>
        <w:gridCol w:w="2126"/>
      </w:tblGrid>
      <w:tr w:rsidR="00A201C8" w:rsidRPr="00A201C8" w14:paraId="400939FC" w14:textId="77777777" w:rsidTr="00A201C8">
        <w:tc>
          <w:tcPr>
            <w:tcW w:w="4644" w:type="dxa"/>
            <w:shd w:val="clear" w:color="auto" w:fill="44546A" w:themeFill="text2"/>
            <w:vAlign w:val="center"/>
          </w:tcPr>
          <w:p w14:paraId="6DD9DB75" w14:textId="77777777" w:rsidR="009F5F1F" w:rsidRPr="00A201C8" w:rsidRDefault="009F5F1F" w:rsidP="00A201C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lastRenderedPageBreak/>
              <w:t>Projekti</w:t>
            </w:r>
          </w:p>
          <w:p w14:paraId="310BE0D2" w14:textId="77777777" w:rsidR="009F5F1F" w:rsidRPr="00A201C8" w:rsidRDefault="009F5F1F" w:rsidP="00A201C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Programa 2.3.1</w:t>
            </w:r>
          </w:p>
          <w:p w14:paraId="0CB69B36" w14:textId="77777777" w:rsidR="009F5F1F" w:rsidRPr="00A201C8" w:rsidRDefault="009F5F1F" w:rsidP="00A201C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Upravljanje i koordinacija u sektoru pravde u BiH</w:t>
            </w:r>
          </w:p>
        </w:tc>
        <w:tc>
          <w:tcPr>
            <w:tcW w:w="1276" w:type="dxa"/>
            <w:shd w:val="clear" w:color="auto" w:fill="44546A" w:themeFill="text2"/>
            <w:vAlign w:val="center"/>
          </w:tcPr>
          <w:p w14:paraId="56E60121" w14:textId="77777777" w:rsidR="009F5F1F" w:rsidRPr="00A201C8" w:rsidRDefault="009F5F1F" w:rsidP="00A201C8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Pokazatelj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39EB1015" w14:textId="77777777" w:rsidR="009F5F1F" w:rsidRPr="00A201C8" w:rsidRDefault="009F5F1F" w:rsidP="00A201C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Jedinica</w:t>
            </w:r>
          </w:p>
          <w:p w14:paraId="70B5824B" w14:textId="77777777" w:rsidR="009F5F1F" w:rsidRPr="00A201C8" w:rsidRDefault="009F5F1F" w:rsidP="00A201C8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mjerenja</w:t>
            </w:r>
          </w:p>
        </w:tc>
        <w:tc>
          <w:tcPr>
            <w:tcW w:w="1418" w:type="dxa"/>
            <w:shd w:val="clear" w:color="auto" w:fill="44546A" w:themeFill="text2"/>
            <w:vAlign w:val="center"/>
          </w:tcPr>
          <w:p w14:paraId="61C390AC" w14:textId="78E7C1C8" w:rsidR="009F5F1F" w:rsidRPr="00A201C8" w:rsidRDefault="009F5F1F" w:rsidP="00A201C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2015</w:t>
            </w:r>
            <w:r w:rsidR="00A201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  <w:p w14:paraId="2C2753B1" w14:textId="77777777" w:rsidR="009F5F1F" w:rsidRPr="00A201C8" w:rsidRDefault="009F5F1F" w:rsidP="00A201C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Polazna vrijednost</w:t>
            </w:r>
          </w:p>
        </w:tc>
        <w:tc>
          <w:tcPr>
            <w:tcW w:w="1843" w:type="dxa"/>
            <w:shd w:val="clear" w:color="auto" w:fill="44546A" w:themeFill="text2"/>
            <w:vAlign w:val="center"/>
          </w:tcPr>
          <w:p w14:paraId="63B0E429" w14:textId="6E02128F" w:rsidR="009F5F1F" w:rsidRPr="00A201C8" w:rsidRDefault="009F5F1F" w:rsidP="00A201C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2016</w:t>
            </w:r>
            <w:r w:rsidR="00A201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1984" w:type="dxa"/>
            <w:shd w:val="clear" w:color="auto" w:fill="44546A" w:themeFill="text2"/>
            <w:vAlign w:val="center"/>
          </w:tcPr>
          <w:p w14:paraId="773C2CCA" w14:textId="608EF05B" w:rsidR="009F5F1F" w:rsidRPr="00A201C8" w:rsidRDefault="009F5F1F" w:rsidP="00A201C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2017</w:t>
            </w:r>
            <w:r w:rsidR="00A201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2126" w:type="dxa"/>
            <w:shd w:val="clear" w:color="auto" w:fill="44546A" w:themeFill="text2"/>
            <w:vAlign w:val="center"/>
          </w:tcPr>
          <w:p w14:paraId="54E14F88" w14:textId="66A7CF5D" w:rsidR="009F5F1F" w:rsidRPr="00A201C8" w:rsidRDefault="009F5F1F" w:rsidP="00A201C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2018</w:t>
            </w:r>
            <w:r w:rsidR="00A201C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.</w:t>
            </w:r>
          </w:p>
        </w:tc>
      </w:tr>
      <w:tr w:rsidR="009F5F1F" w:rsidRPr="00A201C8" w14:paraId="6B220F0C" w14:textId="77777777" w:rsidTr="00A201C8">
        <w:tc>
          <w:tcPr>
            <w:tcW w:w="4644" w:type="dxa"/>
            <w:shd w:val="clear" w:color="auto" w:fill="FFF2CC" w:themeFill="accent4" w:themeFillTint="33"/>
            <w:vAlign w:val="center"/>
          </w:tcPr>
          <w:p w14:paraId="281340C0" w14:textId="77777777" w:rsidR="009F5F1F" w:rsidRPr="00A201C8" w:rsidRDefault="009F5F1F" w:rsidP="00A201C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2.3.1.12 Odnosi sa javnošću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526BEF0" w14:textId="77777777" w:rsidR="009F5F1F" w:rsidRPr="00A201C8" w:rsidRDefault="009F5F1F" w:rsidP="00A201C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Postotak </w:t>
            </w:r>
            <w:r w:rsidR="00471014"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riješenih</w:t>
            </w: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zahtjeva u roku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E92153E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37297E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C6D2B2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05B3D8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4EE4B2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100</w:t>
            </w:r>
          </w:p>
        </w:tc>
      </w:tr>
      <w:tr w:rsidR="009F5F1F" w:rsidRPr="00A201C8" w14:paraId="7DB50479" w14:textId="77777777" w:rsidTr="00A201C8">
        <w:tc>
          <w:tcPr>
            <w:tcW w:w="4644" w:type="dxa"/>
            <w:shd w:val="clear" w:color="auto" w:fill="FFF2CC" w:themeFill="accent4" w:themeFillTint="33"/>
            <w:vAlign w:val="center"/>
          </w:tcPr>
          <w:p w14:paraId="352B5025" w14:textId="77777777" w:rsidR="009F5F1F" w:rsidRPr="00A201C8" w:rsidRDefault="009F5F1F" w:rsidP="00A201C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2.3.1.13 Upravljanje budžetom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F54E8B0" w14:textId="77777777" w:rsidR="009F5F1F" w:rsidRPr="00A201C8" w:rsidRDefault="009F5F1F" w:rsidP="00A201C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Izvještaj revizije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B30F988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Opisno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B26C7F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Pozitivan izvještaj u prethodnom periodu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B4B58D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Pozitivan izvještaj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CF12C8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Pozitivan izvještaj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14481D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Pozitivan izvještaj</w:t>
            </w:r>
          </w:p>
        </w:tc>
      </w:tr>
      <w:tr w:rsidR="009F5F1F" w:rsidRPr="00A201C8" w14:paraId="2366999F" w14:textId="77777777" w:rsidTr="00A201C8">
        <w:tc>
          <w:tcPr>
            <w:tcW w:w="4644" w:type="dxa"/>
            <w:shd w:val="clear" w:color="auto" w:fill="FFF2CC" w:themeFill="accent4" w:themeFillTint="33"/>
            <w:vAlign w:val="center"/>
          </w:tcPr>
          <w:p w14:paraId="77273937" w14:textId="77777777" w:rsidR="009F5F1F" w:rsidRPr="00A201C8" w:rsidRDefault="009F5F1F" w:rsidP="00A201C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2.3.1.14 Javne nabavke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3EBDF18" w14:textId="77777777" w:rsidR="009F5F1F" w:rsidRPr="00A201C8" w:rsidRDefault="009F5F1F" w:rsidP="00A201C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Postotak provedenih javnih nabavki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71B7812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C0C29C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CDA4D3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626CED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71B373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100</w:t>
            </w:r>
          </w:p>
        </w:tc>
      </w:tr>
      <w:tr w:rsidR="009F5F1F" w:rsidRPr="00A201C8" w14:paraId="32DCCD9D" w14:textId="77777777" w:rsidTr="00A201C8">
        <w:tc>
          <w:tcPr>
            <w:tcW w:w="4644" w:type="dxa"/>
            <w:shd w:val="clear" w:color="auto" w:fill="FFF2CC" w:themeFill="accent4" w:themeFillTint="33"/>
            <w:vAlign w:val="center"/>
          </w:tcPr>
          <w:p w14:paraId="5FF3ECDA" w14:textId="77777777" w:rsidR="009F5F1F" w:rsidRPr="00A201C8" w:rsidRDefault="009F5F1F" w:rsidP="00A201C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2.3.1.15 Upravljanje dokumentima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7F66928" w14:textId="77777777" w:rsidR="009F5F1F" w:rsidRPr="00A201C8" w:rsidRDefault="00471014" w:rsidP="00A201C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Postotak</w:t>
            </w:r>
            <w:r w:rsidR="009F5F1F"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ažurnosti akata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D681651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64B4B2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7A4993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667627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605C20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100</w:t>
            </w:r>
          </w:p>
        </w:tc>
      </w:tr>
      <w:tr w:rsidR="009F5F1F" w:rsidRPr="00A201C8" w14:paraId="779A3F32" w14:textId="77777777" w:rsidTr="00A201C8">
        <w:tc>
          <w:tcPr>
            <w:tcW w:w="4644" w:type="dxa"/>
            <w:shd w:val="clear" w:color="auto" w:fill="FFF2CC" w:themeFill="accent4" w:themeFillTint="33"/>
            <w:vAlign w:val="center"/>
          </w:tcPr>
          <w:p w14:paraId="67C2592E" w14:textId="77777777" w:rsidR="009F5F1F" w:rsidRPr="00A201C8" w:rsidRDefault="009F5F1F" w:rsidP="00A201C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2.3.1.16 Upravna i tehnička podrška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E0B80B9" w14:textId="69FAEEFC" w:rsidR="009F5F1F" w:rsidRPr="00A201C8" w:rsidRDefault="009F5F1F" w:rsidP="00A201C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ACDA0F2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5F1BB1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568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C1A5C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564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1D65AD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564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5E094C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564</w:t>
            </w:r>
          </w:p>
        </w:tc>
      </w:tr>
      <w:tr w:rsidR="009F5F1F" w:rsidRPr="00A201C8" w14:paraId="78015FD1" w14:textId="77777777" w:rsidTr="00A201C8">
        <w:tc>
          <w:tcPr>
            <w:tcW w:w="4644" w:type="dxa"/>
            <w:shd w:val="clear" w:color="auto" w:fill="FFF2CC" w:themeFill="accent4" w:themeFillTint="33"/>
            <w:vAlign w:val="center"/>
          </w:tcPr>
          <w:p w14:paraId="4DDB4C35" w14:textId="77777777" w:rsidR="009F5F1F" w:rsidRPr="00A201C8" w:rsidRDefault="009F5F1F" w:rsidP="00A201C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2.3.1.17 Interna revizija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5574DDB" w14:textId="5AAF2465" w:rsidR="009F5F1F" w:rsidRPr="00A201C8" w:rsidRDefault="009F5F1F" w:rsidP="00A201C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8D6D93B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941E47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240AAE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DB90EB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9DE7E4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5</w:t>
            </w:r>
          </w:p>
        </w:tc>
      </w:tr>
      <w:tr w:rsidR="009F5F1F" w:rsidRPr="00A201C8" w14:paraId="5B8B7C1A" w14:textId="77777777" w:rsidTr="00A201C8">
        <w:tc>
          <w:tcPr>
            <w:tcW w:w="4644" w:type="dxa"/>
            <w:shd w:val="clear" w:color="auto" w:fill="FFF2CC" w:themeFill="accent4" w:themeFillTint="33"/>
            <w:vAlign w:val="center"/>
          </w:tcPr>
          <w:p w14:paraId="026FF2E7" w14:textId="4DAC6712" w:rsidR="009F5F1F" w:rsidRPr="00A201C8" w:rsidRDefault="00A201C8" w:rsidP="00A201C8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2.3.1.18 Stručni časopis „</w:t>
            </w:r>
            <w:r w:rsidR="009F5F1F"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Pravn</w:t>
            </w: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 revija BiH“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45229D8" w14:textId="0C141149" w:rsidR="009F5F1F" w:rsidRPr="00A201C8" w:rsidRDefault="009F5F1F" w:rsidP="00A201C8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Informativno</w:t>
            </w:r>
            <w:r w:rsid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</w:t>
            </w: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6057ECC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F44D54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A7D6E6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86A4F3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696D8E" w14:textId="77777777" w:rsidR="009F5F1F" w:rsidRPr="00A201C8" w:rsidRDefault="009F5F1F" w:rsidP="00A201C8">
            <w:pPr>
              <w:ind w:right="108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A201C8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</w:t>
            </w:r>
          </w:p>
        </w:tc>
      </w:tr>
    </w:tbl>
    <w:p w14:paraId="7196D064" w14:textId="77777777" w:rsidR="009F5F1F" w:rsidRPr="00C77FF0" w:rsidRDefault="009F5F1F" w:rsidP="009F5F1F">
      <w:pPr>
        <w:rPr>
          <w:rFonts w:ascii="Times New Roman" w:hAnsi="Times New Roman" w:cs="Times New Roman"/>
          <w:sz w:val="24"/>
          <w:szCs w:val="24"/>
        </w:rPr>
      </w:pPr>
      <w:r w:rsidRPr="00C77FF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1"/>
        <w:tblpPr w:leftFromText="180" w:rightFromText="180" w:vertAnchor="text" w:horzAnchor="margin" w:tblpX="-39" w:tblpY="137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4644"/>
        <w:gridCol w:w="1276"/>
        <w:gridCol w:w="992"/>
        <w:gridCol w:w="1418"/>
        <w:gridCol w:w="1843"/>
        <w:gridCol w:w="1984"/>
        <w:gridCol w:w="2126"/>
      </w:tblGrid>
      <w:tr w:rsidR="008972B8" w:rsidRPr="008972B8" w14:paraId="41B460D2" w14:textId="77777777" w:rsidTr="008972B8">
        <w:tc>
          <w:tcPr>
            <w:tcW w:w="4644" w:type="dxa"/>
            <w:shd w:val="clear" w:color="auto" w:fill="44546A" w:themeFill="text2"/>
            <w:vAlign w:val="center"/>
          </w:tcPr>
          <w:p w14:paraId="20D29654" w14:textId="77777777" w:rsidR="009F5F1F" w:rsidRPr="008972B8" w:rsidRDefault="009F5F1F" w:rsidP="008972B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  <w:lastRenderedPageBreak/>
              <w:t>Projekti</w:t>
            </w:r>
          </w:p>
          <w:p w14:paraId="09A54EF4" w14:textId="77777777" w:rsidR="009F5F1F" w:rsidRPr="008972B8" w:rsidRDefault="009F5F1F" w:rsidP="008972B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  <w:t>Programa 2.3.2</w:t>
            </w:r>
            <w:r w:rsidRPr="008972B8">
              <w:rPr>
                <w:rStyle w:val="FootnoteReference"/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  <w:footnoteReference w:id="28"/>
            </w:r>
          </w:p>
          <w:p w14:paraId="65ADA89F" w14:textId="77777777" w:rsidR="009F5F1F" w:rsidRPr="008972B8" w:rsidRDefault="009F5F1F" w:rsidP="008972B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  <w:t>EU integracije u sektoru pravde u BiH</w:t>
            </w:r>
            <w:r w:rsidRPr="008972B8">
              <w:rPr>
                <w:rStyle w:val="FootnoteReference"/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  <w:footnoteReference w:id="29"/>
            </w:r>
          </w:p>
        </w:tc>
        <w:tc>
          <w:tcPr>
            <w:tcW w:w="1276" w:type="dxa"/>
            <w:shd w:val="clear" w:color="auto" w:fill="44546A" w:themeFill="text2"/>
            <w:vAlign w:val="center"/>
          </w:tcPr>
          <w:p w14:paraId="1DBC9D9B" w14:textId="77777777" w:rsidR="009F5F1F" w:rsidRPr="008972B8" w:rsidRDefault="009F5F1F" w:rsidP="008972B8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Pokazatelj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20D7D459" w14:textId="77777777" w:rsidR="009F5F1F" w:rsidRPr="008972B8" w:rsidRDefault="009F5F1F" w:rsidP="008972B8">
            <w:pPr>
              <w:spacing w:after="1" w:line="237" w:lineRule="auto"/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Jedinica</w:t>
            </w:r>
          </w:p>
          <w:p w14:paraId="51CB291B" w14:textId="77777777" w:rsidR="009F5F1F" w:rsidRPr="008972B8" w:rsidRDefault="009F5F1F" w:rsidP="008972B8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mjerenja</w:t>
            </w:r>
          </w:p>
        </w:tc>
        <w:tc>
          <w:tcPr>
            <w:tcW w:w="1418" w:type="dxa"/>
            <w:shd w:val="clear" w:color="auto" w:fill="44546A" w:themeFill="text2"/>
            <w:vAlign w:val="center"/>
          </w:tcPr>
          <w:p w14:paraId="09CF1688" w14:textId="40BFFBB1" w:rsidR="009F5F1F" w:rsidRPr="008972B8" w:rsidRDefault="009F5F1F" w:rsidP="008972B8">
            <w:pPr>
              <w:spacing w:after="1"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2015</w:t>
            </w:r>
            <w:r w:rsid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.</w:t>
            </w:r>
          </w:p>
          <w:p w14:paraId="5D2E4583" w14:textId="77777777" w:rsidR="009F5F1F" w:rsidRPr="008972B8" w:rsidRDefault="009F5F1F" w:rsidP="008972B8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Polazna vrijednost</w:t>
            </w:r>
          </w:p>
        </w:tc>
        <w:tc>
          <w:tcPr>
            <w:tcW w:w="1843" w:type="dxa"/>
            <w:shd w:val="clear" w:color="auto" w:fill="44546A" w:themeFill="text2"/>
            <w:vAlign w:val="center"/>
          </w:tcPr>
          <w:p w14:paraId="76FC23C1" w14:textId="202789BF" w:rsidR="009F5F1F" w:rsidRPr="008972B8" w:rsidRDefault="009F5F1F" w:rsidP="008972B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2016</w:t>
            </w:r>
            <w:r w:rsid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.</w:t>
            </w:r>
          </w:p>
        </w:tc>
        <w:tc>
          <w:tcPr>
            <w:tcW w:w="1984" w:type="dxa"/>
            <w:shd w:val="clear" w:color="auto" w:fill="44546A" w:themeFill="text2"/>
            <w:vAlign w:val="center"/>
          </w:tcPr>
          <w:p w14:paraId="52715D48" w14:textId="27DC3310" w:rsidR="009F5F1F" w:rsidRPr="008972B8" w:rsidRDefault="009F5F1F" w:rsidP="008972B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2017</w:t>
            </w:r>
            <w:r w:rsid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.</w:t>
            </w:r>
            <w:r w:rsidRPr="008972B8">
              <w:rPr>
                <w:rStyle w:val="FootnoteReference"/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footnoteReference w:id="30"/>
            </w:r>
          </w:p>
        </w:tc>
        <w:tc>
          <w:tcPr>
            <w:tcW w:w="2126" w:type="dxa"/>
            <w:shd w:val="clear" w:color="auto" w:fill="44546A" w:themeFill="text2"/>
            <w:vAlign w:val="center"/>
          </w:tcPr>
          <w:p w14:paraId="6A191E0A" w14:textId="459FBC03" w:rsidR="009F5F1F" w:rsidRPr="008972B8" w:rsidRDefault="009F5F1F" w:rsidP="008972B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2018</w:t>
            </w:r>
            <w:r w:rsid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.</w:t>
            </w:r>
          </w:p>
        </w:tc>
      </w:tr>
      <w:tr w:rsidR="009F5F1F" w:rsidRPr="008972B8" w14:paraId="4E5C749B" w14:textId="77777777" w:rsidTr="008972B8">
        <w:tc>
          <w:tcPr>
            <w:tcW w:w="4644" w:type="dxa"/>
            <w:shd w:val="clear" w:color="auto" w:fill="FFF2CC" w:themeFill="accent4" w:themeFillTint="33"/>
            <w:vAlign w:val="center"/>
          </w:tcPr>
          <w:p w14:paraId="7583533C" w14:textId="77777777" w:rsidR="009F5F1F" w:rsidRPr="008972B8" w:rsidRDefault="009F5F1F" w:rsidP="008972B8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2.3.1.1 Ostvarenje redovne komunikacije i koordinacije sa DEI u postupku integriranja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0A4A1D17" w14:textId="77526C25" w:rsidR="009F5F1F" w:rsidRPr="008972B8" w:rsidRDefault="00471014" w:rsidP="008972B8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Informativno</w:t>
            </w:r>
            <w:r w:rsid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-</w:t>
            </w: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</w:t>
            </w:r>
            <w:r w:rsidR="009F5F1F"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1C3219C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491DBD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8F967D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B30439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C88AEA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3</w:t>
            </w:r>
          </w:p>
        </w:tc>
      </w:tr>
      <w:tr w:rsidR="009F5F1F" w:rsidRPr="008972B8" w14:paraId="0D925B7F" w14:textId="77777777" w:rsidTr="008972B8">
        <w:tc>
          <w:tcPr>
            <w:tcW w:w="4644" w:type="dxa"/>
            <w:shd w:val="clear" w:color="auto" w:fill="FFF2CC" w:themeFill="accent4" w:themeFillTint="33"/>
            <w:vAlign w:val="center"/>
          </w:tcPr>
          <w:p w14:paraId="64D13D83" w14:textId="77777777" w:rsidR="009F5F1F" w:rsidRPr="008972B8" w:rsidRDefault="009F5F1F" w:rsidP="008972B8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2.3.1.2 Učestvovanje u programima TP EK u oblasti uskl. zakonodavstva</w:t>
            </w:r>
          </w:p>
        </w:tc>
        <w:tc>
          <w:tcPr>
            <w:tcW w:w="1276" w:type="dxa"/>
            <w:vMerge/>
            <w:vAlign w:val="center"/>
          </w:tcPr>
          <w:p w14:paraId="34FF1C98" w14:textId="77777777" w:rsidR="009F5F1F" w:rsidRPr="008972B8" w:rsidRDefault="009F5F1F" w:rsidP="008972B8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6F9A46F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C1B4C1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799070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C90DE1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1EB605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3</w:t>
            </w:r>
          </w:p>
        </w:tc>
      </w:tr>
      <w:tr w:rsidR="009F5F1F" w:rsidRPr="008972B8" w14:paraId="21321D22" w14:textId="77777777" w:rsidTr="008972B8">
        <w:tc>
          <w:tcPr>
            <w:tcW w:w="4644" w:type="dxa"/>
            <w:shd w:val="clear" w:color="auto" w:fill="FFF2CC" w:themeFill="accent4" w:themeFillTint="33"/>
            <w:vAlign w:val="center"/>
          </w:tcPr>
          <w:p w14:paraId="0B582E58" w14:textId="77777777" w:rsidR="009F5F1F" w:rsidRPr="008972B8" w:rsidRDefault="009F5F1F" w:rsidP="008972B8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2.3.1.3 Uspostavljanje baze podataka o propisima koji su usklađeni i koje treba uskladiti</w:t>
            </w:r>
          </w:p>
        </w:tc>
        <w:tc>
          <w:tcPr>
            <w:tcW w:w="1276" w:type="dxa"/>
            <w:vMerge/>
            <w:vAlign w:val="center"/>
          </w:tcPr>
          <w:p w14:paraId="6D072C0D" w14:textId="77777777" w:rsidR="009F5F1F" w:rsidRPr="008972B8" w:rsidRDefault="009F5F1F" w:rsidP="008972B8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45A66D9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702CFB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37A08E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F25178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3ED486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</w:t>
            </w:r>
          </w:p>
        </w:tc>
      </w:tr>
      <w:tr w:rsidR="009F5F1F" w:rsidRPr="008972B8" w14:paraId="7C580164" w14:textId="77777777" w:rsidTr="008972B8">
        <w:tc>
          <w:tcPr>
            <w:tcW w:w="4644" w:type="dxa"/>
            <w:shd w:val="clear" w:color="auto" w:fill="FFF2CC" w:themeFill="accent4" w:themeFillTint="33"/>
            <w:vAlign w:val="center"/>
          </w:tcPr>
          <w:p w14:paraId="3D26216C" w14:textId="77777777" w:rsidR="009F5F1F" w:rsidRPr="008972B8" w:rsidRDefault="009F5F1F" w:rsidP="008972B8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2.3.1.4 Izrada i usvajanje AP za usklađivanje zakonodavstva u oblasti sektora pravde</w:t>
            </w:r>
          </w:p>
        </w:tc>
        <w:tc>
          <w:tcPr>
            <w:tcW w:w="1276" w:type="dxa"/>
            <w:vMerge/>
            <w:vAlign w:val="center"/>
          </w:tcPr>
          <w:p w14:paraId="48A21919" w14:textId="77777777" w:rsidR="009F5F1F" w:rsidRPr="008972B8" w:rsidRDefault="009F5F1F" w:rsidP="008972B8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920460D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CB48C9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B73607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988742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DA64DC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</w:t>
            </w:r>
          </w:p>
        </w:tc>
      </w:tr>
      <w:tr w:rsidR="009F5F1F" w:rsidRPr="008972B8" w14:paraId="0572439F" w14:textId="77777777" w:rsidTr="008972B8">
        <w:tc>
          <w:tcPr>
            <w:tcW w:w="4644" w:type="dxa"/>
            <w:shd w:val="clear" w:color="auto" w:fill="FFF2CC" w:themeFill="accent4" w:themeFillTint="33"/>
            <w:vAlign w:val="center"/>
          </w:tcPr>
          <w:p w14:paraId="395A10F0" w14:textId="77777777" w:rsidR="009F5F1F" w:rsidRPr="008972B8" w:rsidRDefault="009F5F1F" w:rsidP="008972B8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2.3.1.5 Provođenje Jedinstvenih pravila za izradu pravnih propisa u institucijama BiH u MP BiH</w:t>
            </w:r>
          </w:p>
        </w:tc>
        <w:tc>
          <w:tcPr>
            <w:tcW w:w="1276" w:type="dxa"/>
            <w:vMerge/>
            <w:vAlign w:val="center"/>
          </w:tcPr>
          <w:p w14:paraId="6BD18F9B" w14:textId="77777777" w:rsidR="009F5F1F" w:rsidRPr="008972B8" w:rsidRDefault="009F5F1F" w:rsidP="008972B8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EAFFBFB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9C968D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15D92B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3B8D3B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82BB90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2</w:t>
            </w:r>
          </w:p>
        </w:tc>
      </w:tr>
      <w:tr w:rsidR="009F5F1F" w:rsidRPr="008972B8" w14:paraId="6420A80C" w14:textId="77777777" w:rsidTr="008972B8">
        <w:tc>
          <w:tcPr>
            <w:tcW w:w="4644" w:type="dxa"/>
            <w:shd w:val="clear" w:color="auto" w:fill="FFF2CC" w:themeFill="accent4" w:themeFillTint="33"/>
            <w:vAlign w:val="center"/>
          </w:tcPr>
          <w:p w14:paraId="42BD7C20" w14:textId="24A7953E" w:rsidR="009F5F1F" w:rsidRPr="008972B8" w:rsidRDefault="7C1D1F8F" w:rsidP="008972B8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2.3.1.6 Izrada analize potreba za obukom </w:t>
            </w:r>
            <w:r w:rsidR="00DC0AA0"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osoba</w:t>
            </w: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za usklađivanje zakonodavstva sektora pravde u BiH sa pravnim naslijeđem EU</w:t>
            </w:r>
          </w:p>
        </w:tc>
        <w:tc>
          <w:tcPr>
            <w:tcW w:w="1276" w:type="dxa"/>
            <w:vMerge/>
            <w:vAlign w:val="center"/>
          </w:tcPr>
          <w:p w14:paraId="238601FE" w14:textId="77777777" w:rsidR="009F5F1F" w:rsidRPr="008972B8" w:rsidRDefault="009F5F1F" w:rsidP="008972B8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3B9CB7B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B663F3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F35070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E9BFC7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93BB7E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</w:t>
            </w:r>
          </w:p>
        </w:tc>
      </w:tr>
      <w:tr w:rsidR="008972B8" w:rsidRPr="008972B8" w14:paraId="5E675E91" w14:textId="77777777" w:rsidTr="008972B8">
        <w:tc>
          <w:tcPr>
            <w:tcW w:w="4644" w:type="dxa"/>
            <w:shd w:val="clear" w:color="auto" w:fill="44546A" w:themeFill="text2"/>
            <w:vAlign w:val="center"/>
          </w:tcPr>
          <w:p w14:paraId="672B1265" w14:textId="77777777" w:rsidR="009F5F1F" w:rsidRPr="008972B8" w:rsidRDefault="009F5F1F" w:rsidP="008972B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  <w:t>Projekti</w:t>
            </w:r>
            <w:r w:rsidRPr="008972B8">
              <w:rPr>
                <w:rStyle w:val="FootnoteReference"/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  <w:footnoteReference w:id="31"/>
            </w:r>
          </w:p>
          <w:p w14:paraId="19546D25" w14:textId="77777777" w:rsidR="009F5F1F" w:rsidRPr="008972B8" w:rsidRDefault="009F5F1F" w:rsidP="008972B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  <w:t>Programa 2.3.3</w:t>
            </w:r>
          </w:p>
          <w:p w14:paraId="2CB73A75" w14:textId="77777777" w:rsidR="009F5F1F" w:rsidRPr="008972B8" w:rsidRDefault="009F5F1F" w:rsidP="008972B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  <w:t>Donatorska koordinacija u sektoru pravde u BiH</w:t>
            </w:r>
          </w:p>
        </w:tc>
        <w:tc>
          <w:tcPr>
            <w:tcW w:w="1276" w:type="dxa"/>
            <w:shd w:val="clear" w:color="auto" w:fill="44546A" w:themeFill="text2"/>
            <w:vAlign w:val="center"/>
          </w:tcPr>
          <w:p w14:paraId="139A5372" w14:textId="77777777" w:rsidR="009F5F1F" w:rsidRPr="008972B8" w:rsidRDefault="009F5F1F" w:rsidP="008972B8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Pokazatelj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6F953E3D" w14:textId="77777777" w:rsidR="009F5F1F" w:rsidRPr="008972B8" w:rsidRDefault="009F5F1F" w:rsidP="008972B8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Jedinica</w:t>
            </w:r>
          </w:p>
          <w:p w14:paraId="310D9A3E" w14:textId="77777777" w:rsidR="009F5F1F" w:rsidRPr="008972B8" w:rsidRDefault="009F5F1F" w:rsidP="008972B8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mjerenja</w:t>
            </w:r>
          </w:p>
        </w:tc>
        <w:tc>
          <w:tcPr>
            <w:tcW w:w="1418" w:type="dxa"/>
            <w:shd w:val="clear" w:color="auto" w:fill="44546A" w:themeFill="text2"/>
            <w:vAlign w:val="center"/>
          </w:tcPr>
          <w:p w14:paraId="1328DEE4" w14:textId="1BFC98B5" w:rsidR="009F5F1F" w:rsidRPr="008972B8" w:rsidRDefault="009F5F1F" w:rsidP="008972B8">
            <w:pPr>
              <w:spacing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2015</w:t>
            </w:r>
            <w:r w:rsid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.</w:t>
            </w:r>
          </w:p>
          <w:p w14:paraId="188A8F95" w14:textId="77777777" w:rsidR="009F5F1F" w:rsidRPr="008972B8" w:rsidRDefault="009F5F1F" w:rsidP="008972B8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Polazna vrijednost</w:t>
            </w:r>
          </w:p>
        </w:tc>
        <w:tc>
          <w:tcPr>
            <w:tcW w:w="1843" w:type="dxa"/>
            <w:shd w:val="clear" w:color="auto" w:fill="44546A" w:themeFill="text2"/>
            <w:vAlign w:val="center"/>
          </w:tcPr>
          <w:p w14:paraId="7383189A" w14:textId="447B1485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2016</w:t>
            </w:r>
            <w:r w:rsid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.</w:t>
            </w:r>
          </w:p>
        </w:tc>
        <w:tc>
          <w:tcPr>
            <w:tcW w:w="1984" w:type="dxa"/>
            <w:shd w:val="clear" w:color="auto" w:fill="44546A" w:themeFill="text2"/>
            <w:vAlign w:val="center"/>
          </w:tcPr>
          <w:p w14:paraId="385E8961" w14:textId="40CF1812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2017</w:t>
            </w:r>
            <w:r w:rsid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.</w:t>
            </w:r>
          </w:p>
        </w:tc>
        <w:tc>
          <w:tcPr>
            <w:tcW w:w="2126" w:type="dxa"/>
            <w:shd w:val="clear" w:color="auto" w:fill="44546A" w:themeFill="text2"/>
            <w:vAlign w:val="center"/>
          </w:tcPr>
          <w:p w14:paraId="2C0578B4" w14:textId="63DB37A3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2018</w:t>
            </w:r>
            <w:r w:rsid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.</w:t>
            </w:r>
          </w:p>
        </w:tc>
      </w:tr>
      <w:tr w:rsidR="009F5F1F" w:rsidRPr="008972B8" w14:paraId="769CC466" w14:textId="77777777" w:rsidTr="008972B8">
        <w:tc>
          <w:tcPr>
            <w:tcW w:w="4644" w:type="dxa"/>
            <w:shd w:val="clear" w:color="auto" w:fill="FFF2CC" w:themeFill="accent4" w:themeFillTint="33"/>
            <w:vAlign w:val="center"/>
          </w:tcPr>
          <w:p w14:paraId="09ECD9E8" w14:textId="77777777" w:rsidR="009F5F1F" w:rsidRPr="008972B8" w:rsidRDefault="009F5F1F" w:rsidP="008972B8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2.3.3.1 Jačanje koordinacije i komunikacije u sektoru pravde u BiH u pripremi donatorskih projekata i određivanje prioriteta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CE0315D" w14:textId="300BB609" w:rsidR="009F5F1F" w:rsidRPr="008972B8" w:rsidRDefault="009F5F1F" w:rsidP="008972B8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Informativno</w:t>
            </w:r>
            <w:r w:rsid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-</w:t>
            </w: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057A384" w14:textId="43ADA2FC" w:rsidR="009F5F1F" w:rsidRPr="008972B8" w:rsidRDefault="008972B8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4FAEB2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369756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D1341F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2B7304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9</w:t>
            </w:r>
          </w:p>
        </w:tc>
      </w:tr>
      <w:tr w:rsidR="009F5F1F" w:rsidRPr="008972B8" w14:paraId="43E2A3C8" w14:textId="77777777" w:rsidTr="008972B8">
        <w:tc>
          <w:tcPr>
            <w:tcW w:w="4644" w:type="dxa"/>
            <w:shd w:val="clear" w:color="auto" w:fill="FFF2CC" w:themeFill="accent4" w:themeFillTint="33"/>
            <w:vAlign w:val="center"/>
          </w:tcPr>
          <w:p w14:paraId="441A5120" w14:textId="77777777" w:rsidR="009F5F1F" w:rsidRPr="008972B8" w:rsidRDefault="009F5F1F" w:rsidP="008972B8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2.3.3.2 Izrada godišnjih izvještaja o učinkovitosti donatorske pomoći u sektoru pravde u BiH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06E15C2" w14:textId="77777777" w:rsidR="009F5F1F" w:rsidRPr="008972B8" w:rsidRDefault="009F5F1F" w:rsidP="008972B8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Informativno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AF492ED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5E7EBE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B7873E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F6823E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999D56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2</w:t>
            </w:r>
          </w:p>
        </w:tc>
      </w:tr>
      <w:tr w:rsidR="009F5F1F" w:rsidRPr="008972B8" w14:paraId="7523DF69" w14:textId="77777777" w:rsidTr="008972B8">
        <w:tc>
          <w:tcPr>
            <w:tcW w:w="4644" w:type="dxa"/>
            <w:shd w:val="clear" w:color="auto" w:fill="FFF2CC" w:themeFill="accent4" w:themeFillTint="33"/>
            <w:vAlign w:val="center"/>
          </w:tcPr>
          <w:p w14:paraId="1986A8CB" w14:textId="77777777" w:rsidR="009F5F1F" w:rsidRPr="008972B8" w:rsidRDefault="009F5F1F" w:rsidP="008972B8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2.3.3.3 Redovno održavanje baze podataka kontakata donatora, donatorskih projekata i mape pokrivenosti strateških programa iz SRSP u BiH sa donatorskom pomoći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7FBE128" w14:textId="77777777" w:rsidR="009F5F1F" w:rsidRPr="008972B8" w:rsidRDefault="00471014" w:rsidP="008972B8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Postotak</w:t>
            </w:r>
            <w:r w:rsidR="009F5F1F"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ažurnosti evidencija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B9A9C84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419D84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FBDA1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C52407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6593D2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100</w:t>
            </w:r>
          </w:p>
        </w:tc>
      </w:tr>
      <w:tr w:rsidR="009F5F1F" w:rsidRPr="008972B8" w14:paraId="03272F92" w14:textId="77777777" w:rsidTr="008972B8">
        <w:tc>
          <w:tcPr>
            <w:tcW w:w="4644" w:type="dxa"/>
            <w:shd w:val="clear" w:color="auto" w:fill="FFF2CC" w:themeFill="accent4" w:themeFillTint="33"/>
            <w:vAlign w:val="center"/>
          </w:tcPr>
          <w:p w14:paraId="6DA3D5A9" w14:textId="0F5C3BC6" w:rsidR="009F5F1F" w:rsidRPr="008972B8" w:rsidRDefault="009F5F1F" w:rsidP="008972B8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2.3.3.4 Stvaranje pretpostavki za </w:t>
            </w:r>
            <w:r w:rsidR="00C04964"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provođenje</w:t>
            </w: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DIS-a u skladu s ustavnim nadležnostima</w:t>
            </w:r>
            <w:r w:rsidRPr="008972B8">
              <w:rPr>
                <w:rStyle w:val="FootnoteReference"/>
                <w:rFonts w:ascii="Times New Roman" w:hAnsi="Times New Roman" w:cs="Times New Roman"/>
                <w:sz w:val="16"/>
                <w:szCs w:val="16"/>
                <w:lang w:val="bs-Latn-BA"/>
              </w:rPr>
              <w:footnoteReference w:id="32"/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F3CABC7" w14:textId="77777777" w:rsidR="009F5F1F" w:rsidRPr="008972B8" w:rsidRDefault="009F5F1F" w:rsidP="008972B8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B08B5D1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DEB4AB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D9C6F4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1F511A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F9C3DC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</w:p>
        </w:tc>
      </w:tr>
      <w:tr w:rsidR="009F5F1F" w:rsidRPr="008972B8" w14:paraId="06A98568" w14:textId="77777777" w:rsidTr="008972B8">
        <w:tc>
          <w:tcPr>
            <w:tcW w:w="4644" w:type="dxa"/>
            <w:shd w:val="clear" w:color="auto" w:fill="FFF2CC" w:themeFill="accent4" w:themeFillTint="33"/>
            <w:vAlign w:val="center"/>
          </w:tcPr>
          <w:p w14:paraId="5D13326E" w14:textId="77777777" w:rsidR="009F5F1F" w:rsidRPr="008972B8" w:rsidRDefault="009F5F1F" w:rsidP="008972B8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2.3.3.5 </w:t>
            </w:r>
            <w:r w:rsidR="003E0E4A"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Unapređenje</w:t>
            </w: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ljudskih potencijala SSPKPEI za donatorsku pomoć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AAD2B89" w14:textId="77777777" w:rsidR="009F5F1F" w:rsidRPr="008972B8" w:rsidRDefault="009F5F1F" w:rsidP="008972B8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P</w:t>
            </w:r>
            <w:r w:rsidR="00471014"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ostotak</w:t>
            </w: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obučenosti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7C6967E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18BFF7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865EC9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34A525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FD6865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100</w:t>
            </w:r>
          </w:p>
        </w:tc>
      </w:tr>
      <w:tr w:rsidR="008972B8" w:rsidRPr="008972B8" w14:paraId="243F0069" w14:textId="77777777" w:rsidTr="008972B8">
        <w:tc>
          <w:tcPr>
            <w:tcW w:w="4644" w:type="dxa"/>
            <w:shd w:val="clear" w:color="auto" w:fill="44546A" w:themeFill="text2"/>
            <w:vAlign w:val="center"/>
          </w:tcPr>
          <w:p w14:paraId="1704268D" w14:textId="77777777" w:rsidR="009F5F1F" w:rsidRPr="008972B8" w:rsidRDefault="009F5F1F" w:rsidP="008972B8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  <w:t>Projekti</w:t>
            </w:r>
          </w:p>
          <w:p w14:paraId="351EC5BE" w14:textId="77777777" w:rsidR="009F5F1F" w:rsidRPr="008972B8" w:rsidRDefault="009F5F1F" w:rsidP="008972B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  <w:t>Programa 2.3.4</w:t>
            </w:r>
            <w:r w:rsidRPr="008972B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vertAlign w:val="superscript"/>
                <w:lang w:val="bs-Latn-BA"/>
              </w:rPr>
              <w:footnoteReference w:id="33"/>
            </w:r>
            <w:r w:rsidRPr="008972B8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6"/>
                <w:szCs w:val="16"/>
                <w:lang w:val="bs-Latn-BA"/>
              </w:rPr>
              <w:t xml:space="preserve"> - Registracija zaloga</w:t>
            </w:r>
          </w:p>
        </w:tc>
        <w:tc>
          <w:tcPr>
            <w:tcW w:w="1276" w:type="dxa"/>
            <w:shd w:val="clear" w:color="auto" w:fill="44546A" w:themeFill="text2"/>
            <w:vAlign w:val="center"/>
          </w:tcPr>
          <w:p w14:paraId="6BE77A53" w14:textId="77777777" w:rsidR="009F5F1F" w:rsidRPr="008972B8" w:rsidRDefault="009F5F1F" w:rsidP="008972B8">
            <w:pPr>
              <w:ind w:left="1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Pokazatelj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123DA731" w14:textId="77777777" w:rsidR="009F5F1F" w:rsidRPr="008972B8" w:rsidRDefault="009F5F1F" w:rsidP="008972B8">
            <w:pPr>
              <w:spacing w:after="1" w:line="237" w:lineRule="auto"/>
              <w:ind w:left="1" w:right="52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Jedinica</w:t>
            </w:r>
          </w:p>
          <w:p w14:paraId="0255AA09" w14:textId="77777777" w:rsidR="009F5F1F" w:rsidRPr="008972B8" w:rsidRDefault="009F5F1F" w:rsidP="008972B8">
            <w:pPr>
              <w:spacing w:line="237" w:lineRule="auto"/>
              <w:ind w:left="1" w:right="7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mjerenja</w:t>
            </w:r>
          </w:p>
        </w:tc>
        <w:tc>
          <w:tcPr>
            <w:tcW w:w="1418" w:type="dxa"/>
            <w:shd w:val="clear" w:color="auto" w:fill="44546A" w:themeFill="text2"/>
            <w:vAlign w:val="center"/>
          </w:tcPr>
          <w:p w14:paraId="29D0943A" w14:textId="6BF264E5" w:rsidR="009F5F1F" w:rsidRPr="008972B8" w:rsidRDefault="009F5F1F" w:rsidP="008972B8">
            <w:pPr>
              <w:spacing w:after="1" w:line="237" w:lineRule="auto"/>
              <w:ind w:left="1" w:right="5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2015</w:t>
            </w:r>
            <w:r w:rsid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.</w:t>
            </w:r>
          </w:p>
          <w:p w14:paraId="71E13CA5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Polazna vrijednost</w:t>
            </w:r>
          </w:p>
        </w:tc>
        <w:tc>
          <w:tcPr>
            <w:tcW w:w="1843" w:type="dxa"/>
            <w:shd w:val="clear" w:color="auto" w:fill="44546A" w:themeFill="text2"/>
            <w:vAlign w:val="center"/>
          </w:tcPr>
          <w:p w14:paraId="0E66B669" w14:textId="4D15889F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2016</w:t>
            </w:r>
            <w:r w:rsid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.</w:t>
            </w:r>
          </w:p>
        </w:tc>
        <w:tc>
          <w:tcPr>
            <w:tcW w:w="1984" w:type="dxa"/>
            <w:shd w:val="clear" w:color="auto" w:fill="44546A" w:themeFill="text2"/>
            <w:vAlign w:val="center"/>
          </w:tcPr>
          <w:p w14:paraId="653754AA" w14:textId="4E271719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2017</w:t>
            </w:r>
            <w:r w:rsid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.</w:t>
            </w:r>
          </w:p>
        </w:tc>
        <w:tc>
          <w:tcPr>
            <w:tcW w:w="2126" w:type="dxa"/>
            <w:shd w:val="clear" w:color="auto" w:fill="44546A" w:themeFill="text2"/>
            <w:vAlign w:val="center"/>
          </w:tcPr>
          <w:p w14:paraId="04BE4B74" w14:textId="4CAE0408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2018</w:t>
            </w:r>
            <w:r w:rsidR="008972B8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bs-Latn-BA"/>
              </w:rPr>
              <w:t>.</w:t>
            </w:r>
          </w:p>
        </w:tc>
      </w:tr>
      <w:tr w:rsidR="009F5F1F" w:rsidRPr="008972B8" w14:paraId="4585EA3E" w14:textId="77777777" w:rsidTr="008972B8">
        <w:tc>
          <w:tcPr>
            <w:tcW w:w="4644" w:type="dxa"/>
            <w:vMerge w:val="restart"/>
            <w:shd w:val="clear" w:color="auto" w:fill="FFF2CC" w:themeFill="accent4" w:themeFillTint="33"/>
            <w:vAlign w:val="center"/>
          </w:tcPr>
          <w:p w14:paraId="769E6C63" w14:textId="77777777" w:rsidR="009F5F1F" w:rsidRPr="008972B8" w:rsidRDefault="009F5F1F" w:rsidP="008972B8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2.3.4.1 Upravljanje registrom zaloga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7A1A895" w14:textId="4C535501" w:rsidR="009F5F1F" w:rsidRPr="008972B8" w:rsidRDefault="009F5F1F" w:rsidP="008972B8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Informativno</w:t>
            </w:r>
            <w:r w:rsid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-</w:t>
            </w: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analitički akti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BC5F025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Broj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B0763D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BC8127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44CCE4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10DC30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2</w:t>
            </w:r>
          </w:p>
        </w:tc>
      </w:tr>
      <w:tr w:rsidR="009F5F1F" w:rsidRPr="008972B8" w14:paraId="1483AB0A" w14:textId="77777777" w:rsidTr="008972B8">
        <w:tc>
          <w:tcPr>
            <w:tcW w:w="4644" w:type="dxa"/>
            <w:vMerge/>
          </w:tcPr>
          <w:p w14:paraId="5023141B" w14:textId="77777777" w:rsidR="009F5F1F" w:rsidRPr="008972B8" w:rsidRDefault="009F5F1F" w:rsidP="008972B8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82814C2" w14:textId="77777777" w:rsidR="009F5F1F" w:rsidRPr="008972B8" w:rsidRDefault="009F5F1F" w:rsidP="008972B8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Aplikacija registra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02199EA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Opis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F8F133" w14:textId="3C526A2C" w:rsidR="009F5F1F" w:rsidRPr="008972B8" w:rsidRDefault="008972B8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Aplikacija funkcionalna, ali s</w:t>
            </w:r>
            <w:r w:rsidR="009F5F1F"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 xml:space="preserve"> uočenim manjkavostima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F43710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Razvijen projekt unapređenja aplikacije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B85B1E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Aplikacija funkcionalna i ugrađene izmjene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13FCCF" w14:textId="77777777" w:rsidR="009F5F1F" w:rsidRPr="008972B8" w:rsidRDefault="009F5F1F" w:rsidP="008972B8">
            <w:pPr>
              <w:ind w:right="108"/>
              <w:jc w:val="center"/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 w:rsidRPr="008972B8">
              <w:rPr>
                <w:rFonts w:ascii="Times New Roman" w:hAnsi="Times New Roman" w:cs="Times New Roman"/>
                <w:sz w:val="16"/>
                <w:szCs w:val="16"/>
                <w:lang w:val="bs-Latn-BA"/>
              </w:rPr>
              <w:t>Aplikacija funkcionalna i testirana</w:t>
            </w:r>
          </w:p>
        </w:tc>
      </w:tr>
    </w:tbl>
    <w:p w14:paraId="62C51AF4" w14:textId="77777777" w:rsidR="008972B8" w:rsidRDefault="008972B8" w:rsidP="00DB76DC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br w:type="page"/>
      </w:r>
    </w:p>
    <w:p w14:paraId="427ED5CA" w14:textId="1273663A" w:rsidR="009F5F1F" w:rsidRPr="00C77FF0" w:rsidRDefault="006D0DC8" w:rsidP="006D0DC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lastRenderedPageBreak/>
        <w:t>U 2018. godini pod uti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cajem razvoja funkcije planiranja i osposobljavanja primjetno je da dokument SPR-a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MP BiH 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za period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 2018. do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2020. godine značajno odstupa od ranijih godina, s tim da su dva srednjoročna cilja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 BiH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ostala ista. Pojedini posebni ciljevi, programi i projekti su u procesu ažuriranja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grupisani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u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više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srodne cjeline odnosno „okrupnjeni“. Tokom perioda izrade, praćenja i provođenja aktivnosti iz SPR MP BiH jedan broj projekata je prikazan u SPR VM BiH, ali se ne prikazuje u SPR MP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BiH na istom mjestu ili se uopć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 ne prikazuje, a što je posljedica dinamike planiranja i nastupa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nja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novih okolno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sti koje nisu ili su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bile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malo vjerov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atne da će se dogoditi u vrijeme planiranja, ali i stoga što je veoma velika vjerovatnoća da su isti prilikom okrupnjavanja pridruženi drugim projektima ili programima, što čini otežanim provođenje postupka evaluacije.</w:t>
      </w:r>
    </w:p>
    <w:p w14:paraId="30AE8996" w14:textId="489951FE" w:rsidR="009F5F1F" w:rsidRPr="002A5A86" w:rsidRDefault="7C1D1F8F" w:rsidP="006D0DC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 posmatranom periodu iz analizirane dokumentacije može se utvrditi da su vršeni pokušaji povezivanja određenih programa i projekta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te se može zaključiti da su pojedini, </w:t>
      </w:r>
      <w:r w:rsidR="006D0DC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ranije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naznačeni programi redefinisani s namjerom pojednostavljenja i uvezivanja u </w:t>
      </w:r>
      <w:r w:rsidR="006D0DC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višu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cjelinu, dok </w:t>
      </w:r>
      <w:r w:rsidR="006D0DC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su 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projekti unutar tih programa</w:t>
      </w:r>
      <w:r w:rsidR="006D0DC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koji su tokom praćenja i provođ</w:t>
      </w:r>
      <w:r w:rsidR="006D0DC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enja bili ocjenjeni kao „nisko“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6D0DC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postavljeni 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na </w:t>
      </w:r>
      <w:r w:rsidR="006D0DC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nivou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aktivnosti, ugrađeni u programe i/ili su pridruženi drugim projektima. SPR </w:t>
      </w:r>
      <w:r w:rsidR="006D0DC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MP BiH 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se vrlo lako prepoznaje u operativnim planovima </w:t>
      </w:r>
      <w:r w:rsidR="006D0DC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 BiH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07DADDBA" w14:textId="71BB4E6F" w:rsidR="009F5F1F" w:rsidRPr="00C77FF0" w:rsidRDefault="006D0DC8" w:rsidP="006D0DC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Većina normativno-pravnih obaveza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koje su 2016. godine označene kao dijelom programa, a istaknute kao zasebni projekti,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navedeni su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u obrascu Priloga 1 - „Pregled zakona, drugih propisa i razvojno –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investicionih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projekata/programa predviđenih SPR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 BiH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“.</w:t>
      </w:r>
    </w:p>
    <w:p w14:paraId="6B53580C" w14:textId="2BD31D54" w:rsidR="009F5F1F" w:rsidRPr="002A5A86" w:rsidRDefault="7C1D1F8F" w:rsidP="006D0DC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Status provođenja i ispunjenosti oba srednjoročna cilja, kao i posebnih ciljeva, te programa i projekata, imaju svoje ocjene u izvještajima o provođenju SPR-a </w:t>
      </w:r>
      <w:r w:rsidR="006D0DC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 BiH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za svaku pojedinačnu 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godinu. </w:t>
      </w:r>
      <w:r w:rsidR="006D0DC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Opć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e zapažanje je da MP BiH nastoji uspostaviti, razvijati i unapređivati funkcije srednjoročnoga i operativnoga planiranja tražeći funkcionalnije i jednostavije veze između aktivnosti povezujući ih u veće cjeline. Na početku </w:t>
      </w:r>
      <w:r w:rsidR="006D0DC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je 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odabran pristup da se svi </w:t>
      </w:r>
      <w:r w:rsidR="006D0DC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pokazatelji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aktivnosti i programa evidentirani u dokumentu okvirnog budžeta (DOB) dodijele istim i/ili srodnim aktivnostima u SPR-u</w:t>
      </w:r>
      <w:r w:rsidR="006D0DC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MP BiH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a vremenom se nastojalo doći do unapređenja </w:t>
      </w:r>
      <w:r w:rsidR="006D0DC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pokazatelja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kao i njihovih vrijednosti, a kako to nije bio slučaj na početku započeto je sa uspostavljanjem evidencije o </w:t>
      </w:r>
      <w:r w:rsidR="006D0DC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pokazateljma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obrazloženju istih, načinu izračuna i gdje su izvori za prikupljanje podataka, kalkulaciju i verifikaciju. Od 2018. </w:t>
      </w:r>
      <w:r w:rsidR="006D0DC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odine</w:t>
      </w:r>
      <w:r w:rsidR="006D0DC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kad</w:t>
      </w:r>
      <w:r w:rsidR="006D0DC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je došlo do izjednačavanja programa SPR-a </w:t>
      </w:r>
      <w:r w:rsidR="006D0DC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MP BiH 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</w:t>
      </w:r>
      <w:r w:rsidR="006D0DC8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programima DOB-a uspostavljenja je funkcionalnija veza procesa planiranja i budžetiranja. Poznavajući historijat razvoja funkcije planiranja može se reći da je do toga došlo i zbog toga što rad na povezivanju procesa planiranja i budžetiranja potiče još od prvog plana, a što se činilo preko aktivnosti projekata reforme javne upr</w:t>
      </w:r>
      <w:r w:rsidR="002B0F8D" w:rsidRP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ave u oblasti javnih finansija.</w:t>
      </w:r>
    </w:p>
    <w:p w14:paraId="1CB1C875" w14:textId="015EC077" w:rsidR="006D0DC8" w:rsidRDefault="7C1D1F8F" w:rsidP="006D0DC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Praćenjem uspješnosti provođenja programa i projekata SPR-a 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MP BiH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može se utvrditi kako postoje aktivnosti koje se obavljaju kontinuirano, bez odstupanja u provođenju, te u zadanim rokovima i/ili uz eventualna manje odstupanja, a koja su vjerovatno izazvana 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rastućim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vanjskim rizikom. Isto tako prateći provođenje može se ustvrditi kako projekti nisu 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definisani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s ograničenjem, te da je 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zato teško u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tvrditi da 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li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su isti okončani. S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druge strane posmatrajući vrijednosti </w:t>
      </w:r>
      <w:r w:rsidR="002B0F8D" w:rsidRP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pokazatelja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2B0F8D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određeni broj projekata ima zastoje u provođenju i/ili je djelimično realizovan, dok samo jedan od 111 projekata nije započeo sa realizacijom. S obzirom na to da izvještaji navode probleme i rizike u provođenju tih projekata možemo ustvrditi kako su isti ili 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definisani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ambiciozno prihvaćajući rizike ili u nisu u dovoljnoj mjeri razmotrili sva aspekt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 i područja rizika koji su uti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cali na rezultate provođenja.</w:t>
      </w:r>
    </w:p>
    <w:p w14:paraId="001D1C4D" w14:textId="77777777" w:rsidR="006D0DC8" w:rsidRDefault="006D0DC8" w:rsidP="006D0DC8">
      <w:pPr>
        <w:spacing w:after="120" w:line="240" w:lineRule="auto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br w:type="page"/>
      </w:r>
    </w:p>
    <w:p w14:paraId="427E6EB3" w14:textId="2601134C" w:rsidR="009F5F1F" w:rsidRPr="00C77FF0" w:rsidRDefault="7C1D1F8F" w:rsidP="006D0DC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lastRenderedPageBreak/>
        <w:t xml:space="preserve">SPR MP BiH jasno navodi kako je sastavljen iz mandata više strateških dokumenata kojih programi i projekti su ugrađeni u programe i projektne aktivnosti plana za što se 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može navesti primjer normativno-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pravn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ih propisa u oblasti pravosuđa i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uprave. Iz izvještaja se zapaža da veliki broj planiranih propisa za upućivanje u dalju proceduru u toku godine bude u izradi, a da samo određeni broj se i uputi u dalju proceduru. Provođenje i praćenje istih ograničava to što nakon upućivanja u proceduru pojedini akti budu vraćeni 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obrađivaču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na doradu/ponovno postupanje, kao i izradu, formiranje novih i proširivanje postojećih radnih grupa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uključivanje drugih institucija u izradu i slično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 za što ne postoji odgovarajući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plan prevazilaženja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rizik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7D65EA55" w14:textId="420E12EA" w:rsidR="009F5F1F" w:rsidRPr="00C77FF0" w:rsidRDefault="7C1D1F8F" w:rsidP="006D0DC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 određene projekte može se ustvrditi da su provedene sve aktivnosti u nadležnosti MP BiH, dok potpuno p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rovođenje za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visi 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 postupanja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partnera ili treće strane. Pojedini projekti su sa provedenim aktivnostima u nadležnosti MP BiH, ali su provedeni u izmijenjenim i/ili produženim rokovima za što je primjer projekat „Izgradnje i puštanja u funkciju Državnog zavoda za izvršenje krivičnih sankcija, pritvora i drugih mjera“.</w:t>
      </w:r>
    </w:p>
    <w:p w14:paraId="4F68BC9F" w14:textId="41B06942" w:rsidR="003B50D2" w:rsidRPr="00C77FF0" w:rsidRDefault="002B0F8D" w:rsidP="006D0DC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valuacijom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utvrđeno da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se 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SPR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MP BiH, u dijelu pravosuđa, 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sastoji od programa i projekata koji su u jednom dijelu bili na nivou aktivnosti 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i 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koji su u procesu ažuriranja prepoznati kao takvi i za iste je izvršena korekcija u procesu „okrupnjavanja“. T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aj proces se pokazao kao trend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za koji postoji velika vjerovatnost da će se nastaviti u daljim godinama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što je pozitivna karakteristika procesa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7C1D1F8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s obzirom da na taj način dolazi do boljeg razumijevanja rada i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poslova iz nadležnosti MP BiH.</w:t>
      </w:r>
    </w:p>
    <w:p w14:paraId="25E9A5F0" w14:textId="46B210C6" w:rsidR="009F5F1F" w:rsidRPr="00C77FF0" w:rsidRDefault="7C1D1F8F" w:rsidP="006D0DC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Pokazatelji još uvijek nisu razrađeni do te mjere da se s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lakoćom mogu 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identifikovati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vrijednosti istih u odnosu na ostvarenje ciljeva i mandata 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 BiH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Nastojanje da se uspostavi mapa </w:t>
      </w:r>
      <w:r w:rsidR="002B0F8D" w:rsidRP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pokazatelja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2B0F8D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odnosno da se na jednom mjestu da pregled svih </w:t>
      </w:r>
      <w:r w:rsidR="002B0F8D" w:rsidRP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 obrazloženje za iste, način kalkulacije, gdje nastaju, odgovornost za iste i izvor verifikacije je potrebno zadržati i nastaviti u daljem ciklusu planiranja.</w:t>
      </w:r>
    </w:p>
    <w:p w14:paraId="4C5282F1" w14:textId="6A06B34A" w:rsidR="009F5F1F" w:rsidRPr="00C77FF0" w:rsidRDefault="7C1D1F8F" w:rsidP="006D0DC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Isto tako u nastavku je potrebno posvetiti pažnju boljoj identifikaciji rizika i utvrđivanju mjera za ublažavanje istih za što se može ustvrditi da u planskim dokumentima postoje, ali su u svom začetku. Ocjena za isti se daje na osnovu „opreznijega“ 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definisanja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novih programa i projekata, kao i predlaganju 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i njihovih vrijednosti posmatrano kroz predmetni i ažurirane planske dokumente.</w:t>
      </w:r>
    </w:p>
    <w:p w14:paraId="70257132" w14:textId="212FAA11" w:rsidR="006D0DC8" w:rsidRDefault="7C1D1F8F" w:rsidP="006D0DC8">
      <w:pPr>
        <w:spacing w:after="120" w:line="240" w:lineRule="auto"/>
        <w:jc w:val="both"/>
        <w:rPr>
          <w:rFonts w:ascii="Times New Roman" w:eastAsia="PMingLiU" w:hAnsi="Times New Roman" w:cs="Times New Roman"/>
          <w:iCs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Evaluacija 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 MP BiH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bila bi značajno lakša i efikasnija da su planski dokumenti metodološki ujednačeniji, kao i to da se vodilo računa o većoj usklađenosti između planskih dokumenata međusobno, kao i istih na različitim nivoima plana. Shodno tome u narednom periodu je potrebno odvojiti dodatnu pažnju na povećanju stepena usklađenosti između dokumenata strateškog, srednjoročnoga i operativnoga nivoa sa pripadajućim akcionim planovima i izvještajima o provođenju međusobno, kao i istih jednog nivoa s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drugim nivoom. S obzirom na to da 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 MP BiH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poznaje aktivnosti koje imaju karakter kontinuiranog trajanja, a za koje je bilo teško utvrditi odgovarajuća mjesta u razvojnom planu to je potrebno </w:t>
      </w:r>
      <w:r w:rsidR="002B0F8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pažljivije pristupiti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razmatranju istih i svrstavanju u dijelu razvojnih projekata s određenim vremenskim trajanjem</w:t>
      </w:r>
      <w:r w:rsidRPr="00C77FF0">
        <w:rPr>
          <w:rFonts w:ascii="Times New Roman" w:eastAsia="PMingLiU" w:hAnsi="Times New Roman" w:cs="Times New Roman"/>
          <w:i/>
          <w:iCs/>
          <w:sz w:val="24"/>
          <w:szCs w:val="24"/>
          <w:lang w:eastAsia="zh-TW" w:bidi="as-IN"/>
        </w:rPr>
        <w:t>.</w:t>
      </w:r>
    </w:p>
    <w:p w14:paraId="491A0569" w14:textId="677478DB" w:rsidR="009F5F1F" w:rsidRPr="00C77FF0" w:rsidRDefault="003A3004" w:rsidP="7C1D1F8F">
      <w:pPr>
        <w:spacing w:after="6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b/>
          <w:bCs/>
          <w:sz w:val="24"/>
          <w:szCs w:val="24"/>
          <w:lang w:eastAsia="zh-TW" w:bidi="as-IN"/>
        </w:rPr>
        <w:br w:type="page"/>
      </w:r>
    </w:p>
    <w:p w14:paraId="795B5B75" w14:textId="3C41C411" w:rsidR="009F5F1F" w:rsidRPr="005D59D3" w:rsidRDefault="005D59D3" w:rsidP="005D59D3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lastRenderedPageBreak/>
        <w:t xml:space="preserve">U narednim tabelama je </w:t>
      </w:r>
      <w:r w:rsidR="009F5F1F" w:rsidRPr="005D59D3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Dijagram logičke mape</w:t>
      </w: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tbl>
      <w:tblPr>
        <w:tblStyle w:val="TableGrid1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0"/>
        <w:gridCol w:w="2239"/>
        <w:gridCol w:w="2268"/>
        <w:gridCol w:w="2127"/>
      </w:tblGrid>
      <w:tr w:rsidR="005D59D3" w:rsidRPr="005D59D3" w14:paraId="40EBA695" w14:textId="77777777" w:rsidTr="005D59D3">
        <w:tc>
          <w:tcPr>
            <w:tcW w:w="7400" w:type="dxa"/>
            <w:shd w:val="clear" w:color="auto" w:fill="44546A" w:themeFill="text2"/>
            <w:vAlign w:val="center"/>
          </w:tcPr>
          <w:p w14:paraId="6D0B702A" w14:textId="77777777" w:rsidR="009F5F1F" w:rsidRPr="005D59D3" w:rsidRDefault="009F5F1F" w:rsidP="009F5F1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Projekti</w:t>
            </w:r>
          </w:p>
        </w:tc>
        <w:tc>
          <w:tcPr>
            <w:tcW w:w="2239" w:type="dxa"/>
            <w:shd w:val="clear" w:color="auto" w:fill="44546A" w:themeFill="text2"/>
            <w:vAlign w:val="center"/>
          </w:tcPr>
          <w:p w14:paraId="1909A796" w14:textId="77777777" w:rsidR="009F5F1F" w:rsidRPr="005D59D3" w:rsidRDefault="009F5F1F" w:rsidP="009F5F1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Programi</w:t>
            </w:r>
          </w:p>
        </w:tc>
        <w:tc>
          <w:tcPr>
            <w:tcW w:w="2268" w:type="dxa"/>
            <w:shd w:val="clear" w:color="auto" w:fill="44546A" w:themeFill="text2"/>
            <w:vAlign w:val="center"/>
          </w:tcPr>
          <w:p w14:paraId="27F95514" w14:textId="77777777" w:rsidR="009F5F1F" w:rsidRPr="005D59D3" w:rsidRDefault="00812B63" w:rsidP="009F5F1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Posebni</w:t>
            </w:r>
            <w:r w:rsidR="009F5F1F" w:rsidRPr="005D59D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 xml:space="preserve"> ciljevi</w:t>
            </w:r>
          </w:p>
        </w:tc>
        <w:tc>
          <w:tcPr>
            <w:tcW w:w="2127" w:type="dxa"/>
            <w:shd w:val="clear" w:color="auto" w:fill="44546A" w:themeFill="text2"/>
            <w:vAlign w:val="center"/>
          </w:tcPr>
          <w:p w14:paraId="68550894" w14:textId="77777777" w:rsidR="009F5F1F" w:rsidRPr="005D59D3" w:rsidRDefault="009F5F1F" w:rsidP="009F5F1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20"/>
                <w:szCs w:val="20"/>
                <w:lang w:val="bs-Latn-BA"/>
              </w:rPr>
              <w:t>Srednjoročni cilj</w:t>
            </w:r>
          </w:p>
        </w:tc>
      </w:tr>
      <w:tr w:rsidR="009F5F1F" w:rsidRPr="005D59D3" w14:paraId="25EF8AED" w14:textId="77777777" w:rsidTr="005D59D3">
        <w:trPr>
          <w:trHeight w:val="4149"/>
        </w:trPr>
        <w:tc>
          <w:tcPr>
            <w:tcW w:w="7400" w:type="dxa"/>
            <w:shd w:val="clear" w:color="auto" w:fill="FFF2CC" w:themeFill="accent4" w:themeFillTint="33"/>
          </w:tcPr>
          <w:p w14:paraId="06B58399" w14:textId="77777777" w:rsidR="009F5F1F" w:rsidRPr="005D59D3" w:rsidRDefault="009F5F1F" w:rsidP="009F5F1F">
            <w:pPr>
              <w:spacing w:before="120"/>
              <w:ind w:left="1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1.1.1.1 Izrada i upućivanje u proceduru usvajanja Zakona o besplatnoj pravnoj pomoći BiH</w:t>
            </w:r>
          </w:p>
          <w:p w14:paraId="1CC1C319" w14:textId="77777777" w:rsidR="009F5F1F" w:rsidRPr="005D59D3" w:rsidRDefault="009F5F1F" w:rsidP="009F5F1F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1.1.1.2 Izrada i upućivanje u proceduru usvajanja Zakona o upravljanju imovinom stečenom krivičnim djelom BiH</w:t>
            </w:r>
          </w:p>
          <w:p w14:paraId="1DB634D8" w14:textId="77777777" w:rsidR="009F5F1F" w:rsidRPr="005D59D3" w:rsidRDefault="009F5F1F" w:rsidP="009F5F1F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1.1.1.3 Izrada i upućivanje u proceduru usvajanja Zakona o izmjenama i dopunama Zakona o VSTV-u BiH</w:t>
            </w:r>
          </w:p>
          <w:p w14:paraId="08187E1C" w14:textId="77777777" w:rsidR="009F5F1F" w:rsidRPr="005D59D3" w:rsidRDefault="009F5F1F" w:rsidP="009F5F1F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1.1.1.4 Izrada i upućivanje u proceduru usvajanja Zakona o sudovima BiH</w:t>
            </w:r>
          </w:p>
          <w:p w14:paraId="32746D3E" w14:textId="77777777" w:rsidR="009F5F1F" w:rsidRPr="005D59D3" w:rsidRDefault="009F5F1F" w:rsidP="009F5F1F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1.1.1.5 Izrada i upućivanje u proceduru usvajanja Zakona o izmjenama i dopunama Zakona o Tužilaštvu BiH</w:t>
            </w:r>
          </w:p>
          <w:p w14:paraId="236FA47F" w14:textId="77777777" w:rsidR="009F5F1F" w:rsidRPr="005D59D3" w:rsidRDefault="009F5F1F" w:rsidP="009F5F1F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1.1.1.6 Izrada i upućivanje u proceduru usvajanja Zakona o izmjenama i dopunama Zakona o platama i naknadama nosilaca pravosudnih dužnosti BiH</w:t>
            </w:r>
          </w:p>
          <w:p w14:paraId="28D776BB" w14:textId="77777777" w:rsidR="009F5F1F" w:rsidRPr="005D59D3" w:rsidRDefault="009F5F1F" w:rsidP="009F5F1F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1.1.1.7 Izrada i upućivanje u proceduru usvajanja Zakona o izmjenama i dopunama Zakona o krivičnom postupku BiH</w:t>
            </w:r>
          </w:p>
          <w:p w14:paraId="3B5BE41B" w14:textId="77777777" w:rsidR="009F5F1F" w:rsidRPr="005D59D3" w:rsidRDefault="009F5F1F" w:rsidP="009F5F1F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1.1.1.8 Izrada i upućivanje u proceduru usvajanja Zakona o Ustavnom sudu BiH</w:t>
            </w:r>
          </w:p>
          <w:p w14:paraId="7623967F" w14:textId="77777777" w:rsidR="009F5F1F" w:rsidRPr="005D59D3" w:rsidRDefault="009F5F1F" w:rsidP="009F5F1F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1.1.1.9 Izrada i upućivanje u proceduru usvajanja Zakona o izmjenama i dopunama Krivičnog zakona BiH</w:t>
            </w:r>
          </w:p>
          <w:p w14:paraId="0152D77E" w14:textId="77777777" w:rsidR="009F5F1F" w:rsidRPr="005D59D3" w:rsidRDefault="009F5F1F" w:rsidP="009F5F1F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1.1.1.10 </w:t>
            </w:r>
            <w:r w:rsidR="003E0E4A"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Unapređenje</w:t>
            </w: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sistema alternativnog rješavanja sporova BiH</w:t>
            </w:r>
          </w:p>
          <w:p w14:paraId="35DA8E67" w14:textId="77777777" w:rsidR="009F5F1F" w:rsidRPr="005D59D3" w:rsidRDefault="009F5F1F" w:rsidP="009F5F1F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1.1.1.11 Rasterećenje pravosudnih institucija BiH izmještanjem pojedinih postupaka i prijenosa ovlasti</w:t>
            </w:r>
          </w:p>
          <w:p w14:paraId="7F5A46EB" w14:textId="77777777" w:rsidR="009F5F1F" w:rsidRPr="005D59D3" w:rsidRDefault="009F5F1F" w:rsidP="009F5F1F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1.1.1.12 Praćenje primjene zakona o sudovima, tužilaštvima i procesnih zakona BiH</w:t>
            </w:r>
          </w:p>
        </w:tc>
        <w:tc>
          <w:tcPr>
            <w:tcW w:w="2239" w:type="dxa"/>
            <w:vAlign w:val="center"/>
          </w:tcPr>
          <w:p w14:paraId="57529637" w14:textId="5C89A0E6" w:rsidR="009F5F1F" w:rsidRPr="005D59D3" w:rsidRDefault="005D59D3" w:rsidP="009F5F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1.1.1</w:t>
            </w:r>
          </w:p>
          <w:p w14:paraId="7E566562" w14:textId="77777777" w:rsidR="009F5F1F" w:rsidRPr="005D59D3" w:rsidRDefault="009F5F1F" w:rsidP="009F5F1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Izrada zakona iz oblasti pravosuđa</w:t>
            </w:r>
          </w:p>
        </w:tc>
        <w:tc>
          <w:tcPr>
            <w:tcW w:w="2268" w:type="dxa"/>
            <w:vMerge w:val="restart"/>
            <w:vAlign w:val="center"/>
          </w:tcPr>
          <w:p w14:paraId="55D8B3B0" w14:textId="77777777" w:rsidR="009F5F1F" w:rsidRPr="005D59D3" w:rsidRDefault="009F5F1F" w:rsidP="009F5F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1.1</w:t>
            </w:r>
          </w:p>
          <w:p w14:paraId="2E016181" w14:textId="77777777" w:rsidR="009F5F1F" w:rsidRPr="005D59D3" w:rsidRDefault="009F5F1F" w:rsidP="009F5F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Dalje jačanje i održavanje nezavisnosti, odgovornosti, efikasnosti, profesionalnosti i usklađenosti pravosudnog sistema koji osigurava vladavinu prava i jednak pristup pravdi u BiH</w:t>
            </w:r>
          </w:p>
        </w:tc>
        <w:tc>
          <w:tcPr>
            <w:tcW w:w="2127" w:type="dxa"/>
            <w:vMerge w:val="restart"/>
            <w:vAlign w:val="center"/>
          </w:tcPr>
          <w:p w14:paraId="0135CBF0" w14:textId="77777777" w:rsidR="009F5F1F" w:rsidRPr="005D59D3" w:rsidRDefault="009F5F1F" w:rsidP="009F5F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</w:t>
            </w:r>
          </w:p>
          <w:p w14:paraId="33773FDD" w14:textId="77777777" w:rsidR="009F5F1F" w:rsidRPr="005D59D3" w:rsidRDefault="003E0E4A" w:rsidP="009F5F1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Unapređenje</w:t>
            </w:r>
            <w:r w:rsidR="009F5F1F"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efikasnosti, odgovornosti, kvalitete i nezavisnosti sektora pravde u BiH</w:t>
            </w:r>
          </w:p>
        </w:tc>
      </w:tr>
      <w:tr w:rsidR="009F5F1F" w:rsidRPr="005D59D3" w14:paraId="071A9A3E" w14:textId="77777777" w:rsidTr="005D59D3">
        <w:trPr>
          <w:trHeight w:val="71"/>
        </w:trPr>
        <w:tc>
          <w:tcPr>
            <w:tcW w:w="7400" w:type="dxa"/>
            <w:shd w:val="clear" w:color="auto" w:fill="FFF2CC" w:themeFill="accent4" w:themeFillTint="33"/>
            <w:vAlign w:val="center"/>
          </w:tcPr>
          <w:p w14:paraId="4166BC5C" w14:textId="77777777" w:rsidR="009F5F1F" w:rsidRPr="005D59D3" w:rsidRDefault="009F5F1F" w:rsidP="009F5F1F">
            <w:pPr>
              <w:spacing w:before="120"/>
              <w:ind w:left="1" w:right="6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1.1.2.1 </w:t>
            </w:r>
            <w:r w:rsidR="003E0E4A"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Unapređenje</w:t>
            </w: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sistema za praćenje efikasnosti i kvalitete rada sudija, tužilaca i stručnih saradnika</w:t>
            </w:r>
          </w:p>
          <w:p w14:paraId="613D1611" w14:textId="6D5C1E4B" w:rsidR="009F5F1F" w:rsidRPr="005D59D3" w:rsidRDefault="009F5F1F" w:rsidP="009F5F1F">
            <w:pPr>
              <w:ind w:left="1" w:right="6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1.1.2.2 </w:t>
            </w:r>
            <w:r w:rsidR="003E0E4A"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Unapređenje</w:t>
            </w: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i usklađivanje statusa zaposlenih </w:t>
            </w:r>
            <w:r w:rsidR="0006619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lica</w:t>
            </w: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u pravosuđu BiH</w:t>
            </w:r>
          </w:p>
          <w:p w14:paraId="5641F71E" w14:textId="77777777" w:rsidR="009F5F1F" w:rsidRPr="005D59D3" w:rsidRDefault="009F5F1F" w:rsidP="009F5F1F">
            <w:pPr>
              <w:ind w:left="1" w:right="6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1.1.2.3 Modernizacija i ujednačavanje programa polaganja pravosudnih ispita BiH</w:t>
            </w:r>
          </w:p>
          <w:p w14:paraId="03BA1D42" w14:textId="77777777" w:rsidR="009F5F1F" w:rsidRPr="005D59D3" w:rsidRDefault="009F5F1F" w:rsidP="009F5F1F">
            <w:pPr>
              <w:ind w:left="1" w:right="6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1.1.2.4 Jačanje podrške braniocima pred Sudom BiH u postupcima za: ratne zločine, organizovani kriminal, privredni kriminal i korupcije</w:t>
            </w:r>
          </w:p>
          <w:p w14:paraId="7C3A6F22" w14:textId="77777777" w:rsidR="009F5F1F" w:rsidRPr="005D59D3" w:rsidRDefault="009F5F1F" w:rsidP="009F5F1F">
            <w:pPr>
              <w:spacing w:after="120"/>
              <w:ind w:left="1" w:right="6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1.1.2.5 </w:t>
            </w:r>
            <w:r w:rsidR="003E0E4A"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Unapređenje</w:t>
            </w: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efikasnosti i kvalitete rada sudskih policajaca BiH</w:t>
            </w:r>
          </w:p>
        </w:tc>
        <w:tc>
          <w:tcPr>
            <w:tcW w:w="2239" w:type="dxa"/>
            <w:vAlign w:val="center"/>
          </w:tcPr>
          <w:p w14:paraId="1AB50C6D" w14:textId="0DB4AE9F" w:rsidR="009F5F1F" w:rsidRPr="005D59D3" w:rsidRDefault="005D59D3" w:rsidP="009F5F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1.1.2</w:t>
            </w:r>
          </w:p>
          <w:p w14:paraId="411A2D05" w14:textId="77777777" w:rsidR="009F5F1F" w:rsidRPr="005D59D3" w:rsidRDefault="009F5F1F" w:rsidP="009F5F1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Pravosudna uprava</w:t>
            </w:r>
          </w:p>
        </w:tc>
        <w:tc>
          <w:tcPr>
            <w:tcW w:w="2268" w:type="dxa"/>
            <w:vMerge/>
            <w:vAlign w:val="center"/>
          </w:tcPr>
          <w:p w14:paraId="1F3B1409" w14:textId="77777777" w:rsidR="009F5F1F" w:rsidRPr="005D59D3" w:rsidRDefault="009F5F1F" w:rsidP="009F5F1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2127" w:type="dxa"/>
            <w:vMerge/>
            <w:vAlign w:val="center"/>
          </w:tcPr>
          <w:p w14:paraId="562C75D1" w14:textId="77777777" w:rsidR="009F5F1F" w:rsidRPr="005D59D3" w:rsidRDefault="009F5F1F" w:rsidP="009F5F1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bs-Latn-BA"/>
              </w:rPr>
            </w:pPr>
          </w:p>
        </w:tc>
      </w:tr>
      <w:tr w:rsidR="009F5F1F" w:rsidRPr="005D59D3" w14:paraId="1950B89E" w14:textId="77777777" w:rsidTr="005D59D3">
        <w:trPr>
          <w:trHeight w:val="798"/>
        </w:trPr>
        <w:tc>
          <w:tcPr>
            <w:tcW w:w="7400" w:type="dxa"/>
            <w:shd w:val="clear" w:color="auto" w:fill="FFF2CC" w:themeFill="accent4" w:themeFillTint="33"/>
            <w:vAlign w:val="center"/>
          </w:tcPr>
          <w:p w14:paraId="4A5F45D1" w14:textId="77777777" w:rsidR="009F5F1F" w:rsidRPr="005D59D3" w:rsidRDefault="00AF02D8" w:rsidP="009F5F1F">
            <w:pPr>
              <w:spacing w:before="120" w:after="120"/>
              <w:ind w:left="1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1.1.3.1 Kontinuirano unapr</w:t>
            </w:r>
            <w:r w:rsidR="009F5F1F"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eđ</w:t>
            </w: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e</w:t>
            </w:r>
            <w:r w:rsidR="009F5F1F"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nje usklađenosti zakonodavstva BiH sa međunarodnim standardima i entitetskih zakonodavstva sa zakonodavstvom BiH</w:t>
            </w:r>
          </w:p>
        </w:tc>
        <w:tc>
          <w:tcPr>
            <w:tcW w:w="2239" w:type="dxa"/>
            <w:vAlign w:val="center"/>
          </w:tcPr>
          <w:p w14:paraId="73AFE298" w14:textId="77777777" w:rsidR="005D59D3" w:rsidRDefault="005D59D3" w:rsidP="009F5F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1.1.3</w:t>
            </w:r>
          </w:p>
          <w:p w14:paraId="76A41AD0" w14:textId="3D94C3FA" w:rsidR="009F5F1F" w:rsidRPr="005D59D3" w:rsidRDefault="009F5F1F" w:rsidP="009F5F1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Međunarodna pravosudna saradnja</w:t>
            </w:r>
          </w:p>
        </w:tc>
        <w:tc>
          <w:tcPr>
            <w:tcW w:w="2268" w:type="dxa"/>
            <w:vMerge/>
            <w:vAlign w:val="center"/>
          </w:tcPr>
          <w:p w14:paraId="664355AD" w14:textId="77777777" w:rsidR="009F5F1F" w:rsidRPr="005D59D3" w:rsidRDefault="009F5F1F" w:rsidP="009F5F1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2127" w:type="dxa"/>
            <w:vMerge/>
            <w:vAlign w:val="center"/>
          </w:tcPr>
          <w:p w14:paraId="1A965116" w14:textId="77777777" w:rsidR="009F5F1F" w:rsidRPr="005D59D3" w:rsidRDefault="009F5F1F" w:rsidP="009F5F1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bs-Latn-BA"/>
              </w:rPr>
            </w:pPr>
          </w:p>
        </w:tc>
      </w:tr>
    </w:tbl>
    <w:p w14:paraId="7DF4E37C" w14:textId="77777777" w:rsidR="009F5F1F" w:rsidRPr="00C77FF0" w:rsidRDefault="009F5F1F" w:rsidP="009F5F1F">
      <w:pPr>
        <w:rPr>
          <w:rFonts w:ascii="Times New Roman" w:eastAsia="PMingLiU" w:hAnsi="Times New Roman" w:cs="Times New Roman"/>
          <w:b/>
          <w:bCs/>
          <w:i/>
          <w:iCs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b/>
          <w:bCs/>
          <w:i/>
          <w:iCs/>
          <w:sz w:val="24"/>
          <w:szCs w:val="24"/>
          <w:lang w:eastAsia="zh-TW" w:bidi="as-IN"/>
        </w:rPr>
        <w:br w:type="page"/>
      </w:r>
    </w:p>
    <w:tbl>
      <w:tblPr>
        <w:tblStyle w:val="TableGrid1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0"/>
        <w:gridCol w:w="2239"/>
        <w:gridCol w:w="2268"/>
        <w:gridCol w:w="2127"/>
      </w:tblGrid>
      <w:tr w:rsidR="005D59D3" w:rsidRPr="005D59D3" w14:paraId="5C71978E" w14:textId="77777777" w:rsidTr="005D59D3">
        <w:tc>
          <w:tcPr>
            <w:tcW w:w="7400" w:type="dxa"/>
            <w:shd w:val="clear" w:color="auto" w:fill="44546A" w:themeFill="text2"/>
            <w:vAlign w:val="center"/>
          </w:tcPr>
          <w:p w14:paraId="0391B234" w14:textId="77777777" w:rsidR="009F5F1F" w:rsidRPr="005D59D3" w:rsidRDefault="009F5F1F" w:rsidP="009F5F1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lastRenderedPageBreak/>
              <w:t>Projekti</w:t>
            </w:r>
          </w:p>
        </w:tc>
        <w:tc>
          <w:tcPr>
            <w:tcW w:w="2239" w:type="dxa"/>
            <w:shd w:val="clear" w:color="auto" w:fill="44546A" w:themeFill="text2"/>
            <w:vAlign w:val="center"/>
          </w:tcPr>
          <w:p w14:paraId="4089EE14" w14:textId="77777777" w:rsidR="009F5F1F" w:rsidRPr="005D59D3" w:rsidRDefault="009F5F1F" w:rsidP="009F5F1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Programi</w:t>
            </w:r>
          </w:p>
        </w:tc>
        <w:tc>
          <w:tcPr>
            <w:tcW w:w="2268" w:type="dxa"/>
            <w:shd w:val="clear" w:color="auto" w:fill="44546A" w:themeFill="text2"/>
            <w:vAlign w:val="center"/>
          </w:tcPr>
          <w:p w14:paraId="534E11F0" w14:textId="77777777" w:rsidR="009F5F1F" w:rsidRPr="005D59D3" w:rsidRDefault="00812B63" w:rsidP="009F5F1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Posebni</w:t>
            </w:r>
            <w:r w:rsidR="009F5F1F" w:rsidRPr="005D59D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ciljevi</w:t>
            </w:r>
          </w:p>
        </w:tc>
        <w:tc>
          <w:tcPr>
            <w:tcW w:w="2127" w:type="dxa"/>
            <w:shd w:val="clear" w:color="auto" w:fill="44546A" w:themeFill="text2"/>
            <w:vAlign w:val="center"/>
          </w:tcPr>
          <w:p w14:paraId="78F944C5" w14:textId="77777777" w:rsidR="009F5F1F" w:rsidRPr="005D59D3" w:rsidRDefault="009F5F1F" w:rsidP="009F5F1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Srednjoročni cilj</w:t>
            </w:r>
          </w:p>
        </w:tc>
      </w:tr>
      <w:tr w:rsidR="00AF02D8" w:rsidRPr="005D59D3" w14:paraId="33759ED6" w14:textId="77777777" w:rsidTr="005D59D3">
        <w:trPr>
          <w:trHeight w:val="1309"/>
        </w:trPr>
        <w:tc>
          <w:tcPr>
            <w:tcW w:w="7400" w:type="dxa"/>
            <w:shd w:val="clear" w:color="auto" w:fill="FFF2CC" w:themeFill="accent4" w:themeFillTint="33"/>
            <w:vAlign w:val="center"/>
          </w:tcPr>
          <w:p w14:paraId="4EAD409E" w14:textId="77777777" w:rsidR="00AF02D8" w:rsidRPr="005D59D3" w:rsidRDefault="00AF02D8" w:rsidP="009F5F1F">
            <w:pPr>
              <w:spacing w:before="120"/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1.2.1.1 Usklađivanje standarda i propisa koji uređuju izvršenje krivičnih sankcija u BiH</w:t>
            </w:r>
          </w:p>
          <w:p w14:paraId="3A3E2F2F" w14:textId="77777777" w:rsidR="00AF02D8" w:rsidRPr="005D59D3" w:rsidRDefault="00AF02D8" w:rsidP="009F5F1F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1.2.1.2 Uspostava uprava za izvršenje krivičnih sankcija BiH</w:t>
            </w:r>
          </w:p>
          <w:p w14:paraId="5B8ECA3F" w14:textId="77777777" w:rsidR="00AF02D8" w:rsidRPr="005D59D3" w:rsidRDefault="00AF02D8" w:rsidP="009F5F1F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1.2.1.3 Unapređenje sistema za prikupljanje podataka o izvršenju krivičnih sankcija BiH</w:t>
            </w:r>
          </w:p>
          <w:p w14:paraId="343C18EA" w14:textId="77777777" w:rsidR="00AF02D8" w:rsidRPr="005D59D3" w:rsidRDefault="00AF02D8" w:rsidP="009F5F1F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1.2.1.4 Unapređenje zavodske infrastrukture i uslova u zavodima u BiH</w:t>
            </w:r>
          </w:p>
          <w:p w14:paraId="3905621A" w14:textId="08C95C14" w:rsidR="00AF02D8" w:rsidRPr="005D59D3" w:rsidRDefault="00AF02D8" w:rsidP="009F5F1F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1.2.1.5 Sistematiziranje i provođenje obuka zavodskih </w:t>
            </w:r>
            <w:r w:rsidR="00DC0AA0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osoba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BiH</w:t>
            </w:r>
          </w:p>
          <w:p w14:paraId="23913B51" w14:textId="77777777" w:rsidR="00AF02D8" w:rsidRPr="005D59D3" w:rsidRDefault="00AF02D8" w:rsidP="009F5F1F">
            <w:pPr>
              <w:spacing w:after="120"/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1.2.1.6 Unapređenje sistema zdravstvene zaštite za osuđenike BiH</w:t>
            </w:r>
          </w:p>
        </w:tc>
        <w:tc>
          <w:tcPr>
            <w:tcW w:w="2239" w:type="dxa"/>
            <w:vAlign w:val="center"/>
          </w:tcPr>
          <w:p w14:paraId="30EA9C67" w14:textId="77777777" w:rsidR="005D59D3" w:rsidRDefault="005D59D3" w:rsidP="009F5F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1.2.1</w:t>
            </w:r>
          </w:p>
          <w:p w14:paraId="3B9AF6F7" w14:textId="337EDE41" w:rsidR="00AF02D8" w:rsidRPr="005D59D3" w:rsidRDefault="00AF02D8" w:rsidP="009F5F1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Upravljanje sistemom za izvršenje krivičnih sankcija BiH</w:t>
            </w:r>
          </w:p>
        </w:tc>
        <w:tc>
          <w:tcPr>
            <w:tcW w:w="2268" w:type="dxa"/>
            <w:vMerge w:val="restart"/>
            <w:vAlign w:val="center"/>
          </w:tcPr>
          <w:p w14:paraId="628B09A5" w14:textId="5E1F2EEB" w:rsidR="00AF02D8" w:rsidRPr="005D59D3" w:rsidRDefault="00AF02D8" w:rsidP="009F5F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</w:t>
            </w:r>
          </w:p>
          <w:p w14:paraId="28CAF198" w14:textId="7C524AD0" w:rsidR="00AF02D8" w:rsidRPr="005D59D3" w:rsidRDefault="00AF02D8" w:rsidP="009F5F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Dalje razvijanje usklađenijeg sistema izvršenja krivičnih sankcija u BiH koji, poštujući evropske standarde, osigurava human i zakonit tretman i efikasnu res</w:t>
            </w:r>
            <w:r w:rsid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ocijalizaciju u zatvorima u BiH</w:t>
            </w:r>
          </w:p>
        </w:tc>
        <w:tc>
          <w:tcPr>
            <w:tcW w:w="2127" w:type="dxa"/>
            <w:vMerge w:val="restart"/>
            <w:vAlign w:val="center"/>
          </w:tcPr>
          <w:p w14:paraId="21FA6016" w14:textId="77777777" w:rsidR="00AF02D8" w:rsidRPr="005D59D3" w:rsidRDefault="00AF02D8" w:rsidP="009F5F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</w:t>
            </w:r>
          </w:p>
          <w:p w14:paraId="4F0C80F6" w14:textId="77777777" w:rsidR="00AF02D8" w:rsidRPr="005D59D3" w:rsidRDefault="00AF02D8" w:rsidP="009F5F1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 efikasnosti, odgovornosti, kvalitete i nezavisnosti sektora pravde u BiH</w:t>
            </w:r>
          </w:p>
        </w:tc>
      </w:tr>
      <w:tr w:rsidR="00AF02D8" w:rsidRPr="005D59D3" w14:paraId="54199B4C" w14:textId="77777777" w:rsidTr="005D59D3">
        <w:trPr>
          <w:trHeight w:val="71"/>
        </w:trPr>
        <w:tc>
          <w:tcPr>
            <w:tcW w:w="7400" w:type="dxa"/>
            <w:shd w:val="clear" w:color="auto" w:fill="FFF2CC" w:themeFill="accent4" w:themeFillTint="33"/>
            <w:vAlign w:val="center"/>
          </w:tcPr>
          <w:p w14:paraId="69B91568" w14:textId="77777777" w:rsidR="00AF02D8" w:rsidRPr="005D59D3" w:rsidRDefault="00AF02D8" w:rsidP="009F5F1F">
            <w:pPr>
              <w:spacing w:before="120"/>
              <w:ind w:left="1" w:right="6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1.2.2.1 Osiguranje primjene rada za opće dobro na slobodi za punoljetne i maloljetne osuđenike</w:t>
            </w:r>
          </w:p>
          <w:p w14:paraId="43A56055" w14:textId="77777777" w:rsidR="00AF02D8" w:rsidRPr="005D59D3" w:rsidRDefault="00AF02D8" w:rsidP="009F5F1F">
            <w:pPr>
              <w:ind w:left="1" w:right="6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1.2.2.2 Unapređenje provođenja uslovnog</w:t>
            </w:r>
            <w:r w:rsidR="00812B63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otpusta</w:t>
            </w:r>
          </w:p>
          <w:p w14:paraId="458A5636" w14:textId="77777777" w:rsidR="00AF02D8" w:rsidRPr="005D59D3" w:rsidRDefault="00AF02D8" w:rsidP="009F5F1F">
            <w:pPr>
              <w:ind w:left="1" w:right="6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1.2.2.3 Unapređenje postupka pomilovanja u BiH</w:t>
            </w:r>
          </w:p>
          <w:p w14:paraId="6683F019" w14:textId="77777777" w:rsidR="00AF02D8" w:rsidRPr="005D59D3" w:rsidRDefault="00AF02D8" w:rsidP="009F5F1F">
            <w:pPr>
              <w:spacing w:after="120"/>
              <w:ind w:left="1" w:right="6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1.2.2.4 Uspostava probacijske službe BiH</w:t>
            </w:r>
          </w:p>
        </w:tc>
        <w:tc>
          <w:tcPr>
            <w:tcW w:w="2239" w:type="dxa"/>
            <w:vAlign w:val="center"/>
          </w:tcPr>
          <w:p w14:paraId="502567A4" w14:textId="77777777" w:rsidR="005D59D3" w:rsidRDefault="005D59D3" w:rsidP="009F5F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1.2.2</w:t>
            </w:r>
          </w:p>
          <w:p w14:paraId="5704730C" w14:textId="4605D14D" w:rsidR="00AF02D8" w:rsidRPr="005D59D3" w:rsidRDefault="00AF02D8" w:rsidP="009F5F1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 primjene alternativnih sankcija u BiH</w:t>
            </w:r>
          </w:p>
        </w:tc>
        <w:tc>
          <w:tcPr>
            <w:tcW w:w="2268" w:type="dxa"/>
            <w:vMerge/>
            <w:vAlign w:val="center"/>
          </w:tcPr>
          <w:p w14:paraId="44FB30F8" w14:textId="77777777" w:rsidR="00AF02D8" w:rsidRPr="005D59D3" w:rsidRDefault="00AF02D8" w:rsidP="009F5F1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bs-Latn-BA"/>
              </w:rPr>
            </w:pPr>
          </w:p>
        </w:tc>
        <w:tc>
          <w:tcPr>
            <w:tcW w:w="2127" w:type="dxa"/>
            <w:vMerge/>
            <w:vAlign w:val="center"/>
          </w:tcPr>
          <w:p w14:paraId="1DA6542E" w14:textId="77777777" w:rsidR="00AF02D8" w:rsidRPr="005D59D3" w:rsidRDefault="00AF02D8" w:rsidP="009F5F1F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bs-Latn-BA"/>
              </w:rPr>
            </w:pPr>
          </w:p>
        </w:tc>
      </w:tr>
      <w:tr w:rsidR="00AF02D8" w:rsidRPr="005D59D3" w14:paraId="7A75FE50" w14:textId="77777777" w:rsidTr="005D59D3">
        <w:trPr>
          <w:trHeight w:val="1194"/>
        </w:trPr>
        <w:tc>
          <w:tcPr>
            <w:tcW w:w="7400" w:type="dxa"/>
            <w:shd w:val="clear" w:color="auto" w:fill="FFF2CC" w:themeFill="accent4" w:themeFillTint="33"/>
            <w:vAlign w:val="center"/>
          </w:tcPr>
          <w:p w14:paraId="7CD4D123" w14:textId="77777777" w:rsidR="00AF02D8" w:rsidRPr="005D59D3" w:rsidRDefault="00AF02D8" w:rsidP="009F5F1F">
            <w:pPr>
              <w:spacing w:before="120"/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1.2.3.1 Unapređenje uslova boravka u pritvoru i postupanja prema pritvorenim licima</w:t>
            </w:r>
          </w:p>
          <w:p w14:paraId="3AFF3CFD" w14:textId="77777777" w:rsidR="00AF02D8" w:rsidRPr="005D59D3" w:rsidRDefault="00AF02D8" w:rsidP="009F5F1F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1.2.3.2 Unapređenje tretmana osuđeničke populacije i stvaranje pretpostavki za prilagođen tretman maloljetnih osuđenika</w:t>
            </w:r>
          </w:p>
          <w:p w14:paraId="690A3AAA" w14:textId="77777777" w:rsidR="00AF02D8" w:rsidRPr="005D59D3" w:rsidRDefault="00AF02D8" w:rsidP="009F5F1F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1.2.3.3 Stavljanje u funkciju Psihijatrijske klinike na Sokocu</w:t>
            </w:r>
          </w:p>
          <w:p w14:paraId="3E1DCC2D" w14:textId="77777777" w:rsidR="00AF02D8" w:rsidRPr="005D59D3" w:rsidRDefault="00AF02D8" w:rsidP="009F5F1F">
            <w:pPr>
              <w:spacing w:after="120"/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1.2.3.4 Provođenje inspekcijskog</w:t>
            </w:r>
            <w:r w:rsidR="00812B63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nadzora postupanja sa zatvorenicima</w:t>
            </w:r>
          </w:p>
        </w:tc>
        <w:tc>
          <w:tcPr>
            <w:tcW w:w="2239" w:type="dxa"/>
            <w:vAlign w:val="center"/>
          </w:tcPr>
          <w:p w14:paraId="703D4A6D" w14:textId="77777777" w:rsidR="005D59D3" w:rsidRDefault="005D59D3" w:rsidP="009F5F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1.2.3</w:t>
            </w:r>
          </w:p>
          <w:p w14:paraId="45377BB5" w14:textId="7A5D1EFF" w:rsidR="00AF02D8" w:rsidRPr="005D59D3" w:rsidRDefault="00AF02D8" w:rsidP="009F5F1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 primjene međunarodnih standarda</w:t>
            </w:r>
          </w:p>
        </w:tc>
        <w:tc>
          <w:tcPr>
            <w:tcW w:w="2268" w:type="dxa"/>
            <w:vMerge/>
            <w:vAlign w:val="center"/>
          </w:tcPr>
          <w:p w14:paraId="3041E394" w14:textId="77777777" w:rsidR="00AF02D8" w:rsidRPr="005D59D3" w:rsidRDefault="00AF02D8" w:rsidP="009F5F1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bs-Latn-BA"/>
              </w:rPr>
            </w:pPr>
          </w:p>
        </w:tc>
        <w:tc>
          <w:tcPr>
            <w:tcW w:w="2127" w:type="dxa"/>
            <w:vMerge/>
            <w:vAlign w:val="center"/>
          </w:tcPr>
          <w:p w14:paraId="722B00AE" w14:textId="77777777" w:rsidR="00AF02D8" w:rsidRPr="005D59D3" w:rsidRDefault="00AF02D8" w:rsidP="009F5F1F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bs-Latn-BA"/>
              </w:rPr>
            </w:pPr>
          </w:p>
        </w:tc>
      </w:tr>
      <w:tr w:rsidR="00AF02D8" w:rsidRPr="005D59D3" w14:paraId="1C2E5E1B" w14:textId="77777777" w:rsidTr="005D59D3">
        <w:trPr>
          <w:trHeight w:val="1194"/>
        </w:trPr>
        <w:tc>
          <w:tcPr>
            <w:tcW w:w="7400" w:type="dxa"/>
            <w:shd w:val="clear" w:color="auto" w:fill="FFF2CC" w:themeFill="accent4" w:themeFillTint="33"/>
            <w:vAlign w:val="center"/>
          </w:tcPr>
          <w:p w14:paraId="02EC3737" w14:textId="77777777" w:rsidR="00AF02D8" w:rsidRPr="005D59D3" w:rsidRDefault="00AF02D8" w:rsidP="009F5F1F">
            <w:pPr>
              <w:spacing w:before="120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1.3.1.1 Pružanje MPP u krivičnim i građanskim stvarima</w:t>
            </w:r>
          </w:p>
          <w:p w14:paraId="656D069D" w14:textId="77777777" w:rsidR="00AF02D8" w:rsidRPr="005D59D3" w:rsidRDefault="00AF02D8" w:rsidP="009F5F1F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1.3.1.2 Održavanje seminara i konsultacija za državne službenike koji pružaju MPP</w:t>
            </w:r>
          </w:p>
          <w:p w14:paraId="767A4C78" w14:textId="0A59FA66" w:rsidR="00AF02D8" w:rsidRPr="005D59D3" w:rsidRDefault="7C1D1F8F" w:rsidP="7C1D1F8F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1.3.1.3 Izrada analize o stanju u oblasti postupanja u predmetima MPP, radi unapređenja pružanja MPP</w:t>
            </w:r>
          </w:p>
          <w:p w14:paraId="3A425869" w14:textId="77777777" w:rsidR="00AF02D8" w:rsidRPr="005D59D3" w:rsidRDefault="00AF02D8" w:rsidP="009F5F1F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1.3.1.4 Dogradnja sistema elektronske pisarnice MP BiH (OWIS)</w:t>
            </w:r>
          </w:p>
          <w:p w14:paraId="4AEA95E4" w14:textId="77777777" w:rsidR="00AF02D8" w:rsidRPr="005D59D3" w:rsidRDefault="00AF02D8" w:rsidP="009F5F1F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1.3.1.5 Izrada i upućivanje u proceduru usvajanja Zakona o MPP u građanskim stvarima</w:t>
            </w:r>
          </w:p>
          <w:p w14:paraId="01B5E644" w14:textId="77777777" w:rsidR="00AF02D8" w:rsidRPr="005D59D3" w:rsidRDefault="00AF02D8" w:rsidP="009F5F1F">
            <w:pPr>
              <w:spacing w:after="120"/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1.3.1.6 Izrada i upućivanje u proceduru usvajanja Zakona o rješavanju sukoba zakona s propisima drugih zemalja u određenim odnosima</w:t>
            </w:r>
          </w:p>
        </w:tc>
        <w:tc>
          <w:tcPr>
            <w:tcW w:w="2239" w:type="dxa"/>
            <w:vAlign w:val="center"/>
          </w:tcPr>
          <w:p w14:paraId="2A67906D" w14:textId="77777777" w:rsidR="00AF02D8" w:rsidRPr="005D59D3" w:rsidRDefault="00AF02D8" w:rsidP="009F5F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1.3.1</w:t>
            </w:r>
          </w:p>
          <w:p w14:paraId="05F1BA6B" w14:textId="77777777" w:rsidR="00AF02D8" w:rsidRPr="005D59D3" w:rsidRDefault="00AF02D8" w:rsidP="009F5F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Pružanje međunarodne pravne pomoći (MPP)</w:t>
            </w:r>
          </w:p>
        </w:tc>
        <w:tc>
          <w:tcPr>
            <w:tcW w:w="2268" w:type="dxa"/>
            <w:vMerge w:val="restart"/>
            <w:vAlign w:val="center"/>
          </w:tcPr>
          <w:p w14:paraId="3BA8A75B" w14:textId="77777777" w:rsidR="00AF02D8" w:rsidRPr="005D59D3" w:rsidRDefault="00AF02D8" w:rsidP="009F5F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Posebni cilj 1.3.</w:t>
            </w:r>
          </w:p>
          <w:p w14:paraId="1AB90B48" w14:textId="77777777" w:rsidR="00AF02D8" w:rsidRPr="005D59D3" w:rsidRDefault="00AF02D8" w:rsidP="00812B6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Dalje </w:t>
            </w:r>
            <w:r w:rsidR="00812B63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napređenje sistema međunarodne pravne pomoći</w:t>
            </w:r>
          </w:p>
        </w:tc>
        <w:tc>
          <w:tcPr>
            <w:tcW w:w="2127" w:type="dxa"/>
            <w:vMerge/>
            <w:vAlign w:val="center"/>
          </w:tcPr>
          <w:p w14:paraId="42C6D796" w14:textId="77777777" w:rsidR="00AF02D8" w:rsidRPr="005D59D3" w:rsidRDefault="00AF02D8" w:rsidP="009F5F1F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bs-Latn-BA"/>
              </w:rPr>
            </w:pPr>
          </w:p>
        </w:tc>
      </w:tr>
      <w:tr w:rsidR="00AF02D8" w:rsidRPr="005D59D3" w14:paraId="003FE709" w14:textId="77777777" w:rsidTr="005D59D3">
        <w:trPr>
          <w:trHeight w:val="284"/>
        </w:trPr>
        <w:tc>
          <w:tcPr>
            <w:tcW w:w="7400" w:type="dxa"/>
            <w:shd w:val="clear" w:color="auto" w:fill="FFF2CC" w:themeFill="accent4" w:themeFillTint="33"/>
            <w:vAlign w:val="center"/>
          </w:tcPr>
          <w:p w14:paraId="406D4D44" w14:textId="77777777" w:rsidR="00AF02D8" w:rsidRPr="005D59D3" w:rsidRDefault="00AF02D8" w:rsidP="009F5F1F">
            <w:pPr>
              <w:spacing w:before="120"/>
              <w:ind w:left="1" w:right="6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1.3.2.1 Regionalna Konvencija o izvršenju sudskih odluka u građanskim stvarima</w:t>
            </w:r>
          </w:p>
          <w:p w14:paraId="5B8AF353" w14:textId="77777777" w:rsidR="00AF02D8" w:rsidRPr="005D59D3" w:rsidRDefault="00AF02D8" w:rsidP="009F5F1F">
            <w:pPr>
              <w:ind w:left="1" w:right="6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1.3.2.2 IV Dodatni Protokol uz </w:t>
            </w:r>
            <w:r w:rsidR="00812B63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Evropsku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konvenciju o ekstradiciji</w:t>
            </w:r>
          </w:p>
          <w:p w14:paraId="5DDB0DF1" w14:textId="77777777" w:rsidR="00AF02D8" w:rsidRPr="005D59D3" w:rsidRDefault="00AF02D8" w:rsidP="009F5F1F">
            <w:pPr>
              <w:ind w:left="1" w:right="6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1.3.2.3 Ugovor o pristupanju BH EUROJUSTU</w:t>
            </w:r>
          </w:p>
          <w:p w14:paraId="7096DDC3" w14:textId="77777777" w:rsidR="00AF02D8" w:rsidRPr="005D59D3" w:rsidRDefault="00AF02D8" w:rsidP="009F5F1F">
            <w:pPr>
              <w:ind w:left="1" w:right="6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1.3.2.4 Usklađivanje zakonodavstva BiH sa konvencijama iz oblasti MPP</w:t>
            </w:r>
          </w:p>
          <w:p w14:paraId="20AC3D26" w14:textId="1F1D1C9E" w:rsidR="00AF02D8" w:rsidRPr="005D59D3" w:rsidRDefault="00AF02D8" w:rsidP="009F5F1F">
            <w:pPr>
              <w:ind w:left="1" w:right="6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1.3.2.5 </w:t>
            </w:r>
            <w:r w:rsidR="006A7790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Zaključivanje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ugovora između BiH i Republike Kazahstan o pravnoj pomoći u građanskim i privrednim stvarima</w:t>
            </w:r>
          </w:p>
          <w:p w14:paraId="33BA66A6" w14:textId="2D575D1C" w:rsidR="00AF02D8" w:rsidRPr="005D59D3" w:rsidRDefault="00AF02D8" w:rsidP="009F5F1F">
            <w:pPr>
              <w:ind w:left="1" w:right="6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1.3.2.6 </w:t>
            </w:r>
            <w:r w:rsidR="006A7790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Zaključivanje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ugovora između BiH i Republike Turske o međusobnom izvršavanju sudskih odluka u krivičnim stvarima</w:t>
            </w:r>
          </w:p>
          <w:p w14:paraId="13BF2E93" w14:textId="70B2AF04" w:rsidR="00AF02D8" w:rsidRPr="005D59D3" w:rsidRDefault="00AF02D8" w:rsidP="009F5F1F">
            <w:pPr>
              <w:ind w:left="1" w:right="6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1.3.2.7 </w:t>
            </w:r>
            <w:r w:rsidR="006A7790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Zaključivanje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ugovora između BiH i Republike Albanije o pravnoj pomoći u građanskim i krivičnim stvarima</w:t>
            </w:r>
          </w:p>
          <w:p w14:paraId="67907641" w14:textId="6803CBF9" w:rsidR="00AF02D8" w:rsidRPr="005D59D3" w:rsidRDefault="00AF02D8" w:rsidP="009F5F1F">
            <w:pPr>
              <w:ind w:left="1" w:right="6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1.3.2.8 </w:t>
            </w:r>
            <w:r w:rsidR="006A7790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Zaključivanje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ugovora između BiH i Republike Albanije o ekstradiciji</w:t>
            </w:r>
          </w:p>
          <w:p w14:paraId="04557875" w14:textId="77777777" w:rsidR="00AF02D8" w:rsidRPr="005D59D3" w:rsidRDefault="00AF02D8" w:rsidP="009F5F1F">
            <w:pPr>
              <w:ind w:left="1" w:right="6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1.3.2.9 Protokol uz </w:t>
            </w:r>
            <w:r w:rsidR="00812B63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Haašku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konvenciju od 23.11.2007. godine o pravu mjerodavnom</w:t>
            </w:r>
            <w:r w:rsidR="00812B63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 obaveze izdržavanja</w:t>
            </w:r>
          </w:p>
          <w:p w14:paraId="2AE86815" w14:textId="77777777" w:rsidR="00AF02D8" w:rsidRPr="005D59D3" w:rsidRDefault="00AF02D8" w:rsidP="00812B63">
            <w:pPr>
              <w:spacing w:after="120"/>
              <w:ind w:left="1" w:right="6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1.3.2.10 </w:t>
            </w:r>
            <w:r w:rsidR="00812B63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Haaška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konvencija o sporazumno izbranoj nadležnosti iz 2005. godine</w:t>
            </w:r>
          </w:p>
        </w:tc>
        <w:tc>
          <w:tcPr>
            <w:tcW w:w="2239" w:type="dxa"/>
            <w:vAlign w:val="center"/>
          </w:tcPr>
          <w:p w14:paraId="00E990BA" w14:textId="491FCC19" w:rsidR="00AF02D8" w:rsidRPr="005D59D3" w:rsidRDefault="005D59D3" w:rsidP="009F5F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1.3.2</w:t>
            </w:r>
          </w:p>
          <w:p w14:paraId="35132C10" w14:textId="60AAFDA0" w:rsidR="00AF02D8" w:rsidRPr="005D59D3" w:rsidRDefault="006A7790" w:rsidP="009F5F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Ratifikovanje</w:t>
            </w:r>
            <w:r w:rsidR="00AF02D8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konvencija, usklađivanje zakonodavstva i 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zaključivanje</w:t>
            </w:r>
            <w:r w:rsidR="00AF02D8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ugovora</w:t>
            </w:r>
          </w:p>
        </w:tc>
        <w:tc>
          <w:tcPr>
            <w:tcW w:w="2268" w:type="dxa"/>
            <w:vMerge/>
            <w:vAlign w:val="center"/>
          </w:tcPr>
          <w:p w14:paraId="6E1831B3" w14:textId="77777777" w:rsidR="00AF02D8" w:rsidRPr="005D59D3" w:rsidRDefault="00AF02D8" w:rsidP="009F5F1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bs-Latn-BA"/>
              </w:rPr>
            </w:pPr>
          </w:p>
        </w:tc>
        <w:tc>
          <w:tcPr>
            <w:tcW w:w="2127" w:type="dxa"/>
            <w:vMerge/>
            <w:vAlign w:val="center"/>
          </w:tcPr>
          <w:p w14:paraId="54E11D2A" w14:textId="77777777" w:rsidR="00AF02D8" w:rsidRPr="005D59D3" w:rsidRDefault="00AF02D8" w:rsidP="009F5F1F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bs-Latn-BA"/>
              </w:rPr>
            </w:pPr>
          </w:p>
        </w:tc>
      </w:tr>
    </w:tbl>
    <w:p w14:paraId="31126E5D" w14:textId="77777777" w:rsidR="009F5F1F" w:rsidRPr="00C77FF0" w:rsidRDefault="009F5F1F" w:rsidP="009F5F1F">
      <w:pPr>
        <w:rPr>
          <w:rFonts w:ascii="Times New Roman" w:eastAsia="PMingLiU" w:hAnsi="Times New Roman" w:cs="Times New Roman"/>
          <w:b/>
          <w:bCs/>
          <w:i/>
          <w:iCs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b/>
          <w:bCs/>
          <w:i/>
          <w:iCs/>
          <w:sz w:val="24"/>
          <w:szCs w:val="24"/>
          <w:lang w:eastAsia="zh-TW" w:bidi="as-IN"/>
        </w:rPr>
        <w:br w:type="page"/>
      </w:r>
    </w:p>
    <w:p w14:paraId="59D740BF" w14:textId="4530F96B" w:rsidR="009F5F1F" w:rsidRPr="005D59D3" w:rsidRDefault="009F5F1F" w:rsidP="009F5F1F">
      <w:pPr>
        <w:spacing w:before="120" w:after="12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</w:pPr>
      <w:r w:rsidRPr="005D59D3"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lastRenderedPageBreak/>
        <w:t>Pokazatelji uspjeha za srednjoročni cilj 1:</w:t>
      </w:r>
    </w:p>
    <w:tbl>
      <w:tblPr>
        <w:tblStyle w:val="TableGrid0"/>
        <w:tblW w:w="4962" w:type="pc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1" w:type="dxa"/>
          <w:left w:w="107" w:type="dxa"/>
          <w:right w:w="3" w:type="dxa"/>
        </w:tblCellMar>
        <w:tblLook w:val="04A0" w:firstRow="1" w:lastRow="0" w:firstColumn="1" w:lastColumn="0" w:noHBand="0" w:noVBand="1"/>
      </w:tblPr>
      <w:tblGrid>
        <w:gridCol w:w="1875"/>
        <w:gridCol w:w="8384"/>
        <w:gridCol w:w="1686"/>
        <w:gridCol w:w="1941"/>
      </w:tblGrid>
      <w:tr w:rsidR="005D59D3" w:rsidRPr="005D59D3" w14:paraId="29D43F11" w14:textId="77777777" w:rsidTr="005D59D3">
        <w:trPr>
          <w:trHeight w:val="397"/>
        </w:trPr>
        <w:tc>
          <w:tcPr>
            <w:tcW w:w="3694" w:type="pct"/>
            <w:gridSpan w:val="2"/>
            <w:shd w:val="clear" w:color="auto" w:fill="44546A" w:themeFill="text2"/>
            <w:vAlign w:val="center"/>
          </w:tcPr>
          <w:p w14:paraId="6E3DC299" w14:textId="5039F142" w:rsidR="009F5F1F" w:rsidRPr="005D59D3" w:rsidRDefault="005D59D3" w:rsidP="005D59D3">
            <w:pPr>
              <w:snapToGrid w:val="0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bs-Latn-BA"/>
              </w:rPr>
              <w:t xml:space="preserve">Srednjoročni cilj: </w:t>
            </w:r>
            <w:r w:rsidR="003E0E4A" w:rsidRPr="005D59D3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Unapređenje</w:t>
            </w:r>
            <w:r w:rsidR="009F5F1F" w:rsidRPr="005D59D3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 xml:space="preserve"> efikasnosti, odgovornosti, kvalitete i nezavisnosti sektora pravde u BiH</w:t>
            </w:r>
          </w:p>
        </w:tc>
        <w:tc>
          <w:tcPr>
            <w:tcW w:w="607" w:type="pct"/>
            <w:shd w:val="clear" w:color="auto" w:fill="44546A" w:themeFill="text2"/>
            <w:vAlign w:val="center"/>
          </w:tcPr>
          <w:p w14:paraId="2302FAA5" w14:textId="47E9965F" w:rsidR="005D59D3" w:rsidRPr="005D59D3" w:rsidRDefault="005D59D3" w:rsidP="005D59D3">
            <w:pPr>
              <w:snapToGrid w:val="0"/>
              <w:ind w:right="104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Početna vrijednost</w:t>
            </w:r>
          </w:p>
          <w:p w14:paraId="30F1F086" w14:textId="44563E5E" w:rsidR="009F5F1F" w:rsidRPr="005D59D3" w:rsidRDefault="005D59D3" w:rsidP="005D59D3">
            <w:pPr>
              <w:snapToGrid w:val="0"/>
              <w:ind w:left="16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(2015.)</w:t>
            </w:r>
          </w:p>
        </w:tc>
        <w:tc>
          <w:tcPr>
            <w:tcW w:w="699" w:type="pct"/>
            <w:shd w:val="clear" w:color="auto" w:fill="44546A" w:themeFill="text2"/>
            <w:vAlign w:val="center"/>
          </w:tcPr>
          <w:p w14:paraId="21D3E5E3" w14:textId="77777777" w:rsidR="005D59D3" w:rsidRPr="005D59D3" w:rsidRDefault="005D59D3" w:rsidP="005D59D3">
            <w:pPr>
              <w:snapToGrid w:val="0"/>
              <w:ind w:right="26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Očekivana vrijednost</w:t>
            </w:r>
          </w:p>
          <w:p w14:paraId="104E43E0" w14:textId="447D55AD" w:rsidR="009F5F1F" w:rsidRPr="005D59D3" w:rsidRDefault="005D59D3" w:rsidP="005D59D3">
            <w:pPr>
              <w:snapToGrid w:val="0"/>
              <w:ind w:right="26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(2018.)</w:t>
            </w:r>
          </w:p>
        </w:tc>
      </w:tr>
      <w:tr w:rsidR="009F5F1F" w:rsidRPr="005D59D3" w14:paraId="3B724662" w14:textId="77777777" w:rsidTr="005D59D3">
        <w:trPr>
          <w:trHeight w:val="265"/>
        </w:trPr>
        <w:tc>
          <w:tcPr>
            <w:tcW w:w="675" w:type="pct"/>
            <w:vMerge w:val="restart"/>
            <w:vAlign w:val="center"/>
          </w:tcPr>
          <w:p w14:paraId="52FF25B9" w14:textId="35BED2E8" w:rsidR="009F5F1F" w:rsidRPr="004A61C3" w:rsidRDefault="005D59D3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</w:pPr>
            <w:r w:rsidRPr="004A61C3"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>Pokazatelj uspjeha</w:t>
            </w:r>
          </w:p>
        </w:tc>
        <w:tc>
          <w:tcPr>
            <w:tcW w:w="3019" w:type="pct"/>
            <w:vAlign w:val="center"/>
          </w:tcPr>
          <w:p w14:paraId="073C6053" w14:textId="5ADBD875" w:rsidR="009F5F1F" w:rsidRPr="005D59D3" w:rsidRDefault="005D59D3" w:rsidP="005D59D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1.1 </w:t>
            </w:r>
            <w:r w:rsidR="009F5F1F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Nivo do kojeg je osiguran jednak i </w:t>
            </w:r>
            <w:r w:rsidR="00812B63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blag</w:t>
            </w:r>
            <w:r w:rsidR="009F5F1F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ovremen pristup pravdi za sve građane</w:t>
            </w:r>
          </w:p>
        </w:tc>
        <w:tc>
          <w:tcPr>
            <w:tcW w:w="607" w:type="pct"/>
            <w:vAlign w:val="center"/>
          </w:tcPr>
          <w:p w14:paraId="62B37E15" w14:textId="77777777" w:rsidR="009F5F1F" w:rsidRPr="005D59D3" w:rsidRDefault="009F5F1F" w:rsidP="009F5F1F">
            <w:pPr>
              <w:snapToGrid w:val="0"/>
              <w:ind w:right="104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65%</w:t>
            </w:r>
          </w:p>
        </w:tc>
        <w:tc>
          <w:tcPr>
            <w:tcW w:w="699" w:type="pct"/>
            <w:vAlign w:val="center"/>
          </w:tcPr>
          <w:p w14:paraId="78DD41F2" w14:textId="77777777" w:rsidR="009F5F1F" w:rsidRPr="005D59D3" w:rsidRDefault="009F5F1F" w:rsidP="009F5F1F">
            <w:pPr>
              <w:snapToGrid w:val="0"/>
              <w:ind w:right="102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75%</w:t>
            </w:r>
          </w:p>
        </w:tc>
      </w:tr>
      <w:tr w:rsidR="009F5F1F" w:rsidRPr="005D59D3" w14:paraId="70273F8E" w14:textId="77777777" w:rsidTr="005D59D3">
        <w:trPr>
          <w:trHeight w:val="272"/>
        </w:trPr>
        <w:tc>
          <w:tcPr>
            <w:tcW w:w="675" w:type="pct"/>
            <w:vMerge/>
            <w:vAlign w:val="center"/>
          </w:tcPr>
          <w:p w14:paraId="2DE403A5" w14:textId="77777777" w:rsidR="009F5F1F" w:rsidRPr="005D59D3" w:rsidRDefault="009F5F1F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3019" w:type="pct"/>
            <w:vAlign w:val="center"/>
          </w:tcPr>
          <w:p w14:paraId="757C4E7E" w14:textId="15437C8B" w:rsidR="009F5F1F" w:rsidRPr="005D59D3" w:rsidRDefault="005D59D3" w:rsidP="005D59D3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1.2 </w:t>
            </w:r>
            <w:r w:rsidR="009F5F1F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Indeks vladavine prava za oblasti ograničenja državnih 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ovlaštenja</w:t>
            </w:r>
            <w:r w:rsidR="009F5F1F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, 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krivične</w:t>
            </w:r>
            <w:r w:rsidR="009F5F1F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pravde i građanske pravde</w:t>
            </w:r>
          </w:p>
        </w:tc>
        <w:tc>
          <w:tcPr>
            <w:tcW w:w="607" w:type="pct"/>
            <w:vAlign w:val="center"/>
          </w:tcPr>
          <w:p w14:paraId="7F9CFBF8" w14:textId="7FE7EEE4" w:rsidR="009F5F1F" w:rsidRPr="005D59D3" w:rsidRDefault="005D59D3" w:rsidP="009F5F1F">
            <w:pPr>
              <w:snapToGrid w:val="0"/>
              <w:ind w:right="104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0,</w:t>
            </w:r>
            <w:r w:rsidR="009F5F1F"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52</w:t>
            </w:r>
          </w:p>
        </w:tc>
        <w:tc>
          <w:tcPr>
            <w:tcW w:w="699" w:type="pct"/>
            <w:vAlign w:val="center"/>
          </w:tcPr>
          <w:p w14:paraId="7FCFF2D4" w14:textId="20FBA82B" w:rsidR="009F5F1F" w:rsidRPr="005D59D3" w:rsidRDefault="005D59D3" w:rsidP="009F5F1F">
            <w:pPr>
              <w:snapToGrid w:val="0"/>
              <w:ind w:right="102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6,</w:t>
            </w:r>
            <w:r w:rsidR="009F5F1F"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0</w:t>
            </w:r>
          </w:p>
        </w:tc>
      </w:tr>
      <w:tr w:rsidR="009F5F1F" w:rsidRPr="005D59D3" w14:paraId="2DA5402F" w14:textId="77777777" w:rsidTr="005D59D3">
        <w:trPr>
          <w:trHeight w:val="516"/>
        </w:trPr>
        <w:tc>
          <w:tcPr>
            <w:tcW w:w="675" w:type="pct"/>
            <w:vAlign w:val="center"/>
          </w:tcPr>
          <w:p w14:paraId="14E57CAE" w14:textId="34E248F0" w:rsidR="009F5F1F" w:rsidRPr="005D59D3" w:rsidRDefault="00812B63" w:rsidP="009F5F1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Posebni</w:t>
            </w:r>
            <w:r w:rsidR="005D59D3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 xml:space="preserve"> cilj </w:t>
            </w:r>
            <w:r w:rsidR="004A61C3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1</w:t>
            </w:r>
          </w:p>
        </w:tc>
        <w:tc>
          <w:tcPr>
            <w:tcW w:w="4325" w:type="pct"/>
            <w:gridSpan w:val="3"/>
            <w:vAlign w:val="center"/>
          </w:tcPr>
          <w:p w14:paraId="6217860F" w14:textId="77777777" w:rsidR="009F5F1F" w:rsidRPr="005D59D3" w:rsidRDefault="009F5F1F" w:rsidP="009F5F1F">
            <w:pPr>
              <w:snapToGrid w:val="0"/>
              <w:ind w:left="1"/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Dalje jačanje i održavanje nezavisnosti, odgovornosti, efikasnosti, profesionalnosti i usklađenosti pravosudnog sistema koji osigurava vladavinu prava i jednak pristup pravdi u BiH</w:t>
            </w:r>
          </w:p>
        </w:tc>
      </w:tr>
      <w:tr w:rsidR="009F5F1F" w:rsidRPr="005D59D3" w14:paraId="51A5AFE6" w14:textId="77777777" w:rsidTr="005D59D3">
        <w:trPr>
          <w:trHeight w:val="388"/>
        </w:trPr>
        <w:tc>
          <w:tcPr>
            <w:tcW w:w="675" w:type="pct"/>
            <w:vMerge w:val="restart"/>
            <w:vAlign w:val="center"/>
          </w:tcPr>
          <w:p w14:paraId="239C47CF" w14:textId="5F955661" w:rsidR="009F5F1F" w:rsidRPr="004A61C3" w:rsidRDefault="005D59D3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</w:pPr>
            <w:r w:rsidRPr="004A61C3"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>Pokazatelj uspjeha</w:t>
            </w:r>
          </w:p>
        </w:tc>
        <w:tc>
          <w:tcPr>
            <w:tcW w:w="3019" w:type="pct"/>
            <w:vAlign w:val="center"/>
          </w:tcPr>
          <w:p w14:paraId="3E317D09" w14:textId="77777777" w:rsidR="009F5F1F" w:rsidRPr="005D59D3" w:rsidRDefault="009F5F1F" w:rsidP="009F5F1F">
            <w:pPr>
              <w:snapToGrid w:val="0"/>
              <w:ind w:left="1" w:right="104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1.1 Postotak izrađenih nacrta, izmjena i dopuna predloženih zakona iz oblasti pravosuđa na nivou BiH</w:t>
            </w:r>
          </w:p>
        </w:tc>
        <w:tc>
          <w:tcPr>
            <w:tcW w:w="607" w:type="pct"/>
            <w:vAlign w:val="center"/>
          </w:tcPr>
          <w:p w14:paraId="5D8D2F8D" w14:textId="77777777" w:rsidR="009F5F1F" w:rsidRPr="005D59D3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75%</w:t>
            </w:r>
          </w:p>
        </w:tc>
        <w:tc>
          <w:tcPr>
            <w:tcW w:w="699" w:type="pct"/>
            <w:vAlign w:val="center"/>
          </w:tcPr>
          <w:p w14:paraId="7C14BD82" w14:textId="77777777" w:rsidR="009F5F1F" w:rsidRPr="005D59D3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95%</w:t>
            </w:r>
          </w:p>
        </w:tc>
      </w:tr>
      <w:tr w:rsidR="009F5F1F" w:rsidRPr="005D59D3" w14:paraId="4A122D03" w14:textId="77777777" w:rsidTr="005D59D3">
        <w:trPr>
          <w:trHeight w:val="537"/>
        </w:trPr>
        <w:tc>
          <w:tcPr>
            <w:tcW w:w="675" w:type="pct"/>
            <w:vMerge/>
            <w:vAlign w:val="center"/>
          </w:tcPr>
          <w:p w14:paraId="62431CDC" w14:textId="77777777" w:rsidR="009F5F1F" w:rsidRPr="005D59D3" w:rsidRDefault="009F5F1F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3019" w:type="pct"/>
            <w:vAlign w:val="center"/>
          </w:tcPr>
          <w:p w14:paraId="7E2C2921" w14:textId="77777777" w:rsidR="009F5F1F" w:rsidRPr="005D59D3" w:rsidRDefault="009F5F1F" w:rsidP="009F5F1F">
            <w:pPr>
              <w:snapToGrid w:val="0"/>
              <w:ind w:left="1" w:right="104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 Nivo ispunjenih obaveza iz SRSP u BiH i p</w:t>
            </w:r>
            <w:r w:rsidR="00812B63"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reporuka sa sastanaka Strukturis</w:t>
            </w: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anog dijaloga između BiH i EK o pravosuđu i drugim pitanjima vladavine prava</w:t>
            </w:r>
          </w:p>
        </w:tc>
        <w:tc>
          <w:tcPr>
            <w:tcW w:w="607" w:type="pct"/>
            <w:vAlign w:val="center"/>
          </w:tcPr>
          <w:p w14:paraId="6D414B93" w14:textId="77777777" w:rsidR="009F5F1F" w:rsidRPr="005D59D3" w:rsidRDefault="009F5F1F" w:rsidP="009F5F1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0%</w:t>
            </w:r>
          </w:p>
        </w:tc>
        <w:tc>
          <w:tcPr>
            <w:tcW w:w="699" w:type="pct"/>
            <w:vAlign w:val="center"/>
          </w:tcPr>
          <w:p w14:paraId="70E5E123" w14:textId="77777777" w:rsidR="009F5F1F" w:rsidRPr="005D59D3" w:rsidRDefault="009F5F1F" w:rsidP="009F5F1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85%</w:t>
            </w:r>
          </w:p>
        </w:tc>
      </w:tr>
      <w:tr w:rsidR="009F5F1F" w:rsidRPr="005D59D3" w14:paraId="579BE142" w14:textId="77777777" w:rsidTr="005D59D3">
        <w:trPr>
          <w:trHeight w:val="599"/>
        </w:trPr>
        <w:tc>
          <w:tcPr>
            <w:tcW w:w="675" w:type="pct"/>
            <w:vAlign w:val="center"/>
          </w:tcPr>
          <w:p w14:paraId="065812DB" w14:textId="7D72F6EA" w:rsidR="009F5F1F" w:rsidRPr="005D59D3" w:rsidRDefault="00812B63" w:rsidP="009F5F1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Posebni</w:t>
            </w:r>
            <w:r w:rsidR="005D59D3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 xml:space="preserve"> cilj 2</w:t>
            </w:r>
          </w:p>
        </w:tc>
        <w:tc>
          <w:tcPr>
            <w:tcW w:w="4325" w:type="pct"/>
            <w:gridSpan w:val="3"/>
            <w:vAlign w:val="center"/>
          </w:tcPr>
          <w:p w14:paraId="2311DEF0" w14:textId="77777777" w:rsidR="009F5F1F" w:rsidRPr="005D59D3" w:rsidRDefault="009F5F1F" w:rsidP="009F5F1F">
            <w:pPr>
              <w:snapToGrid w:val="0"/>
              <w:ind w:left="1"/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Dalje razvijanje usklađenijeg sistema izvršenja krivičnih sankcija u BiH koji, poštujući evropske standarde, osiguravaju human i zakonit tretman i efikasnu resocijalizaciju u zatvorima u BiH</w:t>
            </w:r>
          </w:p>
        </w:tc>
      </w:tr>
      <w:tr w:rsidR="009F5F1F" w:rsidRPr="005D59D3" w14:paraId="79CE6F44" w14:textId="77777777" w:rsidTr="005D59D3">
        <w:trPr>
          <w:trHeight w:val="262"/>
        </w:trPr>
        <w:tc>
          <w:tcPr>
            <w:tcW w:w="675" w:type="pct"/>
            <w:vMerge w:val="restart"/>
            <w:vAlign w:val="center"/>
          </w:tcPr>
          <w:p w14:paraId="31984C76" w14:textId="062EC529" w:rsidR="009F5F1F" w:rsidRPr="004A61C3" w:rsidRDefault="005D59D3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</w:pPr>
            <w:r w:rsidRPr="004A61C3"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>Pokazatelj uspjeha</w:t>
            </w:r>
          </w:p>
        </w:tc>
        <w:tc>
          <w:tcPr>
            <w:tcW w:w="3019" w:type="pct"/>
            <w:vAlign w:val="center"/>
          </w:tcPr>
          <w:p w14:paraId="75DE4455" w14:textId="77777777" w:rsidR="009F5F1F" w:rsidRPr="005D59D3" w:rsidRDefault="009F5F1F" w:rsidP="009F5F1F">
            <w:pPr>
              <w:snapToGrid w:val="0"/>
              <w:ind w:left="1" w:right="63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2.1 Postotak ispunjenja AP SRSP u BiH koji se tiče izvršenja krivičnih sankcija na nivou BiH </w:t>
            </w:r>
          </w:p>
        </w:tc>
        <w:tc>
          <w:tcPr>
            <w:tcW w:w="607" w:type="pct"/>
            <w:vAlign w:val="center"/>
          </w:tcPr>
          <w:p w14:paraId="4018C83E" w14:textId="77777777" w:rsidR="009F5F1F" w:rsidRPr="005D59D3" w:rsidRDefault="009F5F1F" w:rsidP="009F5F1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0%</w:t>
            </w:r>
          </w:p>
        </w:tc>
        <w:tc>
          <w:tcPr>
            <w:tcW w:w="699" w:type="pct"/>
            <w:vAlign w:val="center"/>
          </w:tcPr>
          <w:p w14:paraId="3FA656A2" w14:textId="77777777" w:rsidR="009F5F1F" w:rsidRPr="005D59D3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97%</w:t>
            </w:r>
          </w:p>
        </w:tc>
      </w:tr>
      <w:tr w:rsidR="009F5F1F" w:rsidRPr="005D59D3" w14:paraId="033FEF77" w14:textId="77777777" w:rsidTr="005D59D3">
        <w:trPr>
          <w:trHeight w:val="240"/>
        </w:trPr>
        <w:tc>
          <w:tcPr>
            <w:tcW w:w="675" w:type="pct"/>
            <w:vMerge/>
            <w:vAlign w:val="center"/>
          </w:tcPr>
          <w:p w14:paraId="49E398E2" w14:textId="77777777" w:rsidR="009F5F1F" w:rsidRPr="005D59D3" w:rsidRDefault="009F5F1F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3019" w:type="pct"/>
            <w:vAlign w:val="center"/>
          </w:tcPr>
          <w:p w14:paraId="6CB9FCE3" w14:textId="77777777" w:rsidR="009F5F1F" w:rsidRPr="005D59D3" w:rsidRDefault="009F5F1F" w:rsidP="009F5F1F">
            <w:pPr>
              <w:snapToGrid w:val="0"/>
              <w:ind w:left="1" w:right="63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 Postotak raspoloživog zatvorskog kapaciteta za potrebe Suda BiH</w:t>
            </w:r>
          </w:p>
        </w:tc>
        <w:tc>
          <w:tcPr>
            <w:tcW w:w="607" w:type="pct"/>
            <w:vAlign w:val="center"/>
          </w:tcPr>
          <w:p w14:paraId="0AC6E9BE" w14:textId="77777777" w:rsidR="009F5F1F" w:rsidRPr="005D59D3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14%</w:t>
            </w:r>
          </w:p>
        </w:tc>
        <w:tc>
          <w:tcPr>
            <w:tcW w:w="699" w:type="pct"/>
            <w:vAlign w:val="center"/>
          </w:tcPr>
          <w:p w14:paraId="135237C8" w14:textId="77777777" w:rsidR="009F5F1F" w:rsidRPr="005D59D3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100%</w:t>
            </w:r>
          </w:p>
        </w:tc>
      </w:tr>
      <w:tr w:rsidR="009F5F1F" w:rsidRPr="005D59D3" w14:paraId="04003532" w14:textId="77777777" w:rsidTr="005D59D3">
        <w:trPr>
          <w:trHeight w:val="344"/>
        </w:trPr>
        <w:tc>
          <w:tcPr>
            <w:tcW w:w="675" w:type="pct"/>
            <w:vMerge/>
            <w:vAlign w:val="center"/>
          </w:tcPr>
          <w:p w14:paraId="16287F21" w14:textId="77777777" w:rsidR="009F5F1F" w:rsidRPr="005D59D3" w:rsidRDefault="009F5F1F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3019" w:type="pct"/>
            <w:vAlign w:val="center"/>
          </w:tcPr>
          <w:p w14:paraId="7886A14E" w14:textId="77777777" w:rsidR="009F5F1F" w:rsidRPr="005D59D3" w:rsidRDefault="009F5F1F" w:rsidP="009F5F1F">
            <w:pPr>
              <w:snapToGrid w:val="0"/>
              <w:ind w:left="1" w:right="63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 Prosječan vremenski period uslovnog otpusta</w:t>
            </w:r>
          </w:p>
        </w:tc>
        <w:tc>
          <w:tcPr>
            <w:tcW w:w="607" w:type="pct"/>
            <w:vAlign w:val="center"/>
          </w:tcPr>
          <w:p w14:paraId="089009E4" w14:textId="77777777" w:rsidR="009F5F1F" w:rsidRPr="005D59D3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9</w:t>
            </w:r>
          </w:p>
        </w:tc>
        <w:tc>
          <w:tcPr>
            <w:tcW w:w="699" w:type="pct"/>
            <w:vAlign w:val="center"/>
          </w:tcPr>
          <w:p w14:paraId="42124560" w14:textId="77777777" w:rsidR="009F5F1F" w:rsidRPr="005D59D3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9</w:t>
            </w:r>
          </w:p>
        </w:tc>
      </w:tr>
      <w:tr w:rsidR="009F5F1F" w:rsidRPr="005D59D3" w14:paraId="3759A709" w14:textId="77777777" w:rsidTr="005D59D3">
        <w:trPr>
          <w:trHeight w:val="252"/>
        </w:trPr>
        <w:tc>
          <w:tcPr>
            <w:tcW w:w="675" w:type="pct"/>
            <w:vMerge/>
            <w:vAlign w:val="center"/>
          </w:tcPr>
          <w:p w14:paraId="5BE93A62" w14:textId="77777777" w:rsidR="009F5F1F" w:rsidRPr="005D59D3" w:rsidRDefault="009F5F1F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3019" w:type="pct"/>
            <w:vAlign w:val="center"/>
          </w:tcPr>
          <w:p w14:paraId="216E3AB0" w14:textId="77777777" w:rsidR="009F5F1F" w:rsidRPr="005D59D3" w:rsidRDefault="009F5F1F" w:rsidP="009F5F1F">
            <w:pPr>
              <w:snapToGrid w:val="0"/>
              <w:ind w:left="1" w:right="63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2.4 Prosječan vremenski period za pomilovanje </w:t>
            </w:r>
          </w:p>
        </w:tc>
        <w:tc>
          <w:tcPr>
            <w:tcW w:w="607" w:type="pct"/>
            <w:vAlign w:val="center"/>
          </w:tcPr>
          <w:p w14:paraId="5FCB5F43" w14:textId="77777777" w:rsidR="009F5F1F" w:rsidRPr="005D59D3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8</w:t>
            </w:r>
          </w:p>
        </w:tc>
        <w:tc>
          <w:tcPr>
            <w:tcW w:w="699" w:type="pct"/>
            <w:vAlign w:val="center"/>
          </w:tcPr>
          <w:p w14:paraId="0E865782" w14:textId="77777777" w:rsidR="009F5F1F" w:rsidRPr="005D59D3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8</w:t>
            </w:r>
          </w:p>
        </w:tc>
      </w:tr>
      <w:tr w:rsidR="009F5F1F" w:rsidRPr="005D59D3" w14:paraId="584AB7EE" w14:textId="77777777" w:rsidTr="005D59D3">
        <w:trPr>
          <w:trHeight w:val="57"/>
        </w:trPr>
        <w:tc>
          <w:tcPr>
            <w:tcW w:w="675" w:type="pct"/>
            <w:vMerge/>
            <w:vAlign w:val="center"/>
          </w:tcPr>
          <w:p w14:paraId="384BA73E" w14:textId="77777777" w:rsidR="009F5F1F" w:rsidRPr="005D59D3" w:rsidRDefault="009F5F1F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3019" w:type="pct"/>
            <w:vAlign w:val="center"/>
          </w:tcPr>
          <w:p w14:paraId="421AC679" w14:textId="77777777" w:rsidR="009F5F1F" w:rsidRPr="005D59D3" w:rsidRDefault="009F5F1F" w:rsidP="009F5F1F">
            <w:pPr>
              <w:snapToGrid w:val="0"/>
              <w:ind w:left="1" w:right="63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2.5 Vremenski period u kojem su izvršene izmjene i dopune propisa</w:t>
            </w:r>
          </w:p>
        </w:tc>
        <w:tc>
          <w:tcPr>
            <w:tcW w:w="607" w:type="pct"/>
            <w:vAlign w:val="center"/>
          </w:tcPr>
          <w:p w14:paraId="4B73E586" w14:textId="77777777" w:rsidR="009F5F1F" w:rsidRPr="005D59D3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12</w:t>
            </w:r>
          </w:p>
        </w:tc>
        <w:tc>
          <w:tcPr>
            <w:tcW w:w="699" w:type="pct"/>
            <w:vAlign w:val="center"/>
          </w:tcPr>
          <w:p w14:paraId="526D80A2" w14:textId="77777777" w:rsidR="009F5F1F" w:rsidRPr="005D59D3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18</w:t>
            </w:r>
          </w:p>
        </w:tc>
      </w:tr>
      <w:tr w:rsidR="009F5F1F" w:rsidRPr="005D59D3" w14:paraId="537D33A7" w14:textId="77777777" w:rsidTr="005D59D3">
        <w:trPr>
          <w:trHeight w:val="316"/>
        </w:trPr>
        <w:tc>
          <w:tcPr>
            <w:tcW w:w="675" w:type="pct"/>
            <w:vAlign w:val="center"/>
          </w:tcPr>
          <w:p w14:paraId="0880954C" w14:textId="77777777" w:rsidR="009F5F1F" w:rsidRPr="005D59D3" w:rsidRDefault="00812B63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Posebni</w:t>
            </w:r>
            <w:r w:rsidR="009F5F1F" w:rsidRPr="005D59D3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 xml:space="preserve"> cilj 3</w:t>
            </w:r>
          </w:p>
        </w:tc>
        <w:tc>
          <w:tcPr>
            <w:tcW w:w="4325" w:type="pct"/>
            <w:gridSpan w:val="3"/>
            <w:vAlign w:val="center"/>
          </w:tcPr>
          <w:p w14:paraId="668A513D" w14:textId="77777777" w:rsidR="009F5F1F" w:rsidRPr="005D59D3" w:rsidRDefault="009F5F1F" w:rsidP="009F5F1F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 xml:space="preserve">Dalje </w:t>
            </w:r>
            <w:r w:rsidR="003E0E4A" w:rsidRPr="005D59D3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Unapređenje</w:t>
            </w:r>
            <w:r w:rsidRPr="005D59D3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 xml:space="preserve"> sistema međunarodne pravne pomoći</w:t>
            </w:r>
          </w:p>
        </w:tc>
      </w:tr>
      <w:tr w:rsidR="009F5F1F" w:rsidRPr="005D59D3" w14:paraId="47DD89D0" w14:textId="77777777" w:rsidTr="005D59D3">
        <w:trPr>
          <w:trHeight w:val="222"/>
        </w:trPr>
        <w:tc>
          <w:tcPr>
            <w:tcW w:w="675" w:type="pct"/>
            <w:vMerge w:val="restart"/>
            <w:vAlign w:val="center"/>
          </w:tcPr>
          <w:p w14:paraId="3D4E69D4" w14:textId="77777777" w:rsidR="009F5F1F" w:rsidRPr="004A61C3" w:rsidRDefault="009F5F1F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</w:pPr>
            <w:r w:rsidRPr="004A61C3"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>Pokazatelj uspjeha</w:t>
            </w:r>
          </w:p>
        </w:tc>
        <w:tc>
          <w:tcPr>
            <w:tcW w:w="3019" w:type="pct"/>
            <w:vAlign w:val="center"/>
          </w:tcPr>
          <w:p w14:paraId="65277799" w14:textId="77777777" w:rsidR="009F5F1F" w:rsidRPr="005D59D3" w:rsidRDefault="009F5F1F" w:rsidP="009F5F1F">
            <w:pPr>
              <w:snapToGrid w:val="0"/>
              <w:ind w:left="1" w:right="63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3.1 Stepen pružanja MPP</w:t>
            </w:r>
          </w:p>
        </w:tc>
        <w:tc>
          <w:tcPr>
            <w:tcW w:w="607" w:type="pct"/>
            <w:vAlign w:val="center"/>
          </w:tcPr>
          <w:p w14:paraId="263416A3" w14:textId="77777777" w:rsidR="009F5F1F" w:rsidRPr="005D59D3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40%</w:t>
            </w:r>
          </w:p>
        </w:tc>
        <w:tc>
          <w:tcPr>
            <w:tcW w:w="699" w:type="pct"/>
            <w:vAlign w:val="center"/>
          </w:tcPr>
          <w:p w14:paraId="184D513D" w14:textId="77777777" w:rsidR="009F5F1F" w:rsidRPr="005D59D3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60%</w:t>
            </w:r>
          </w:p>
        </w:tc>
      </w:tr>
      <w:tr w:rsidR="009F5F1F" w:rsidRPr="005D59D3" w14:paraId="4A2AAC16" w14:textId="77777777" w:rsidTr="005D59D3">
        <w:trPr>
          <w:trHeight w:val="327"/>
        </w:trPr>
        <w:tc>
          <w:tcPr>
            <w:tcW w:w="675" w:type="pct"/>
            <w:vMerge/>
            <w:vAlign w:val="center"/>
          </w:tcPr>
          <w:p w14:paraId="34B3F2EB" w14:textId="77777777" w:rsidR="009F5F1F" w:rsidRPr="005D59D3" w:rsidRDefault="009F5F1F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3019" w:type="pct"/>
            <w:vAlign w:val="center"/>
          </w:tcPr>
          <w:p w14:paraId="3AF43363" w14:textId="77777777" w:rsidR="009F5F1F" w:rsidRPr="005D59D3" w:rsidRDefault="009F5F1F" w:rsidP="009F5F1F">
            <w:pPr>
              <w:snapToGrid w:val="0"/>
              <w:ind w:left="1" w:right="63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3.2 Postotak ispunjenja AP SRSP u BiH koji se tiče međunarodne pravne pomoći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091FBB55" w14:textId="77777777" w:rsidR="009F5F1F" w:rsidRPr="005D59D3" w:rsidRDefault="00812B63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0,</w:t>
            </w:r>
            <w:r w:rsidR="009F5F1F"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5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4B6A0C95" w14:textId="77777777" w:rsidR="009F5F1F" w:rsidRPr="005D59D3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0,6</w:t>
            </w:r>
          </w:p>
        </w:tc>
      </w:tr>
      <w:tr w:rsidR="009F5F1F" w:rsidRPr="005D59D3" w14:paraId="388B53E5" w14:textId="77777777" w:rsidTr="005D59D3">
        <w:trPr>
          <w:trHeight w:val="276"/>
        </w:trPr>
        <w:tc>
          <w:tcPr>
            <w:tcW w:w="675" w:type="pct"/>
            <w:vMerge/>
            <w:vAlign w:val="center"/>
          </w:tcPr>
          <w:p w14:paraId="7D34F5C7" w14:textId="77777777" w:rsidR="009F5F1F" w:rsidRPr="005D59D3" w:rsidRDefault="009F5F1F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3019" w:type="pct"/>
            <w:vAlign w:val="center"/>
          </w:tcPr>
          <w:p w14:paraId="3B30250E" w14:textId="77777777" w:rsidR="009F5F1F" w:rsidRPr="005D59D3" w:rsidRDefault="009F5F1F" w:rsidP="009F5F1F">
            <w:pPr>
              <w:snapToGrid w:val="0"/>
              <w:ind w:left="1" w:right="63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3.3 Prosječan vremenski period potreban za postupanje po zamolnici za međunarodnu pravnu pomoć</w:t>
            </w:r>
          </w:p>
        </w:tc>
        <w:tc>
          <w:tcPr>
            <w:tcW w:w="607" w:type="pct"/>
            <w:vAlign w:val="center"/>
          </w:tcPr>
          <w:p w14:paraId="7CB91984" w14:textId="77777777" w:rsidR="009F5F1F" w:rsidRPr="005D59D3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7 dana</w:t>
            </w:r>
          </w:p>
        </w:tc>
        <w:tc>
          <w:tcPr>
            <w:tcW w:w="699" w:type="pct"/>
            <w:vAlign w:val="center"/>
          </w:tcPr>
          <w:p w14:paraId="3000D972" w14:textId="77777777" w:rsidR="009F5F1F" w:rsidRPr="005D59D3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5 dana</w:t>
            </w:r>
          </w:p>
        </w:tc>
      </w:tr>
      <w:tr w:rsidR="009F5F1F" w:rsidRPr="005D59D3" w14:paraId="13EF4268" w14:textId="77777777" w:rsidTr="005D59D3">
        <w:trPr>
          <w:trHeight w:val="82"/>
        </w:trPr>
        <w:tc>
          <w:tcPr>
            <w:tcW w:w="675" w:type="pct"/>
            <w:vMerge/>
            <w:vAlign w:val="center"/>
          </w:tcPr>
          <w:p w14:paraId="0B4020A7" w14:textId="77777777" w:rsidR="009F5F1F" w:rsidRPr="005D59D3" w:rsidRDefault="009F5F1F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3019" w:type="pct"/>
            <w:vAlign w:val="center"/>
          </w:tcPr>
          <w:p w14:paraId="373C886D" w14:textId="77777777" w:rsidR="009F5F1F" w:rsidRPr="005D59D3" w:rsidRDefault="009F5F1F" w:rsidP="009F5F1F">
            <w:pPr>
              <w:snapToGrid w:val="0"/>
              <w:ind w:left="1" w:right="63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3.4 Ukupan vremenski period potreban za postupanje po zamolnicama za međunarodnu pravnu pomoć</w:t>
            </w:r>
          </w:p>
        </w:tc>
        <w:tc>
          <w:tcPr>
            <w:tcW w:w="607" w:type="pct"/>
            <w:vAlign w:val="center"/>
          </w:tcPr>
          <w:p w14:paraId="69F03E99" w14:textId="77777777" w:rsidR="009F5F1F" w:rsidRPr="005D59D3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5 dana</w:t>
            </w:r>
          </w:p>
        </w:tc>
        <w:tc>
          <w:tcPr>
            <w:tcW w:w="699" w:type="pct"/>
            <w:vAlign w:val="center"/>
          </w:tcPr>
          <w:p w14:paraId="4EE279AA" w14:textId="77777777" w:rsidR="009F5F1F" w:rsidRPr="005D59D3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5D59D3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4 dana</w:t>
            </w:r>
          </w:p>
        </w:tc>
      </w:tr>
    </w:tbl>
    <w:p w14:paraId="1D7B270A" w14:textId="77777777" w:rsidR="009F5F1F" w:rsidRPr="00C77FF0" w:rsidRDefault="009F5F1F" w:rsidP="009F5F1F">
      <w:pPr>
        <w:rPr>
          <w:rFonts w:ascii="Times New Roman" w:eastAsia="PMingLiU" w:hAnsi="Times New Roman" w:cs="Times New Roman"/>
          <w:i/>
          <w:sz w:val="24"/>
          <w:szCs w:val="24"/>
          <w:highlight w:val="yellow"/>
          <w:lang w:eastAsia="zh-TW" w:bidi="as-IN"/>
        </w:rPr>
      </w:pPr>
      <w:r w:rsidRPr="00C77FF0">
        <w:rPr>
          <w:rFonts w:ascii="Times New Roman" w:eastAsia="PMingLiU" w:hAnsi="Times New Roman" w:cs="Times New Roman"/>
          <w:i/>
          <w:sz w:val="24"/>
          <w:szCs w:val="24"/>
          <w:highlight w:val="yellow"/>
          <w:lang w:eastAsia="zh-TW" w:bidi="as-IN"/>
        </w:rPr>
        <w:br w:type="page"/>
      </w:r>
    </w:p>
    <w:p w14:paraId="2EC1DD96" w14:textId="3E1EAE10" w:rsidR="009F5F1F" w:rsidRPr="00C77FF0" w:rsidRDefault="009F5F1F" w:rsidP="006D799B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lastRenderedPageBreak/>
        <w:t xml:space="preserve">Većina postavljenih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je mjerljiva na osnovu izvještaja o radu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 BiH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i podataka koji se </w:t>
      </w:r>
      <w:r w:rsidR="00812B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dostavljaju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na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tromjesečnom</w:t>
      </w:r>
      <w:r w:rsidR="00812B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polugodišnjem ili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godišnje</w:t>
      </w:r>
      <w:r w:rsidR="00812B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m nivou. Izuzetak je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</w:t>
      </w:r>
      <w:r w:rsidR="006D799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cilja</w:t>
      </w:r>
      <w:r w:rsidR="00812B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1.1.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koji je moguće izmjeriti na osnovu ostvarenih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niže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navedenih rezultata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s tim da i u tom slučaju treba naglasiti da se radi samo o doprinosu MP BiH cjelokupnom cilju, s obzirom da i druge institucije direktno ili </w:t>
      </w:r>
      <w:r w:rsidR="00812B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indirektno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učestvuju i doprinose ovom cilju. MP BiH je u tu svrhu definisao i vrijednost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pokazatelja</w:t>
      </w:r>
      <w:r w:rsidR="00812B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 te se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ograničio na dostupne podatke (Strategije za reformu sektora pravde u BiH).</w:t>
      </w:r>
    </w:p>
    <w:p w14:paraId="6B883016" w14:textId="018D87D4" w:rsidR="009F5F1F" w:rsidRPr="00C77FF0" w:rsidRDefault="00812B63" w:rsidP="006D799B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Za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nekoliko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pokazatelja</w:t>
      </w:r>
      <w:r w:rsidR="006D799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nisu navedene početne vrijednosti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s tim da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se u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SPR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MP BiH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pominje ne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postojanje 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mogućnost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tačnog izračuna trenutne vrijednosti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zbog nedostatka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relevantnih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podataka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što se odražava i na realnost 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ne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vrijednosti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 obzirom na to u 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narednom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ciklusu ažuriranja 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SPR MP BiH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preformulacijom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pokazatelja</w:t>
      </w:r>
      <w:r w:rsidR="006D799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i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nalaženjem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relevantnih podataka izračunate su polazne 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vrijednosti i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preciznije</w:t>
      </w:r>
      <w:r w:rsidR="00D516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određene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ne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vrijednosti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651625A5" w14:textId="00A66EA7" w:rsidR="009F5F1F" w:rsidRPr="00C77FF0" w:rsidRDefault="00B3797E" w:rsidP="006D799B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Na osnovu izvještaja i rezultata ostvarenja ciljeva evaluacija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nalazi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da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pokazatelj 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koji se odnosi na realizaciju normativno-pravnih aktivnosti u oblasti pravosuđa je ambiciozno postavljen i u narednom periodu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je potrebno da se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pažljivije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razmotre 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rizici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koji nisu na nivou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 BiH i protiv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mjere za provođenje planiranih aktivnosti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p w14:paraId="76648D07" w14:textId="01B6D8BD" w:rsidR="009F5F1F" w:rsidRPr="00C77FF0" w:rsidRDefault="00B3797E" w:rsidP="006D799B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SPR MP BiH za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pokazatelj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cilja je odabrao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pokazatelj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mjerljiv od treće strane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što je preporuka i vodiča za strateško planiranje, a radi se o indeks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pokazatelju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srednjoročnoga cilja 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koji mjeri izvještaj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projekta svjetske pravde (World Justice project) 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„Rule of Law“</w:t>
      </w:r>
      <w:r w:rsidR="009F5F1F" w:rsidRPr="00C77FF0">
        <w:rPr>
          <w:rStyle w:val="FootnoteReference"/>
          <w:rFonts w:ascii="Times New Roman" w:eastAsia="PMingLiU" w:hAnsi="Times New Roman" w:cs="Times New Roman"/>
          <w:sz w:val="24"/>
          <w:szCs w:val="24"/>
          <w:lang w:eastAsia="zh-TW" w:bidi="as-IN"/>
        </w:rPr>
        <w:footnoteReference w:id="34"/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U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namjeri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da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mjera uspjeha 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bude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što objektivnija, ipak većina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pokazatelja</w:t>
      </w:r>
      <w:r w:rsidR="006D799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je mjerena unutar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 BiH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U budućem ciklusu planiranja je potrebno isto uzeti u obzir i pokušati identifikovati dodatne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pokazatelje mjerene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van </w:t>
      </w:r>
      <w:r w:rsidR="006D799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 BiH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, a da ukazuju na rezultate rada MP BiH. Trenutno za indeks „Rule of Law“ 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nije moguće precizno odrediti d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oprinos pojedinačne institucije što je preporuka da se razmotri i nastoji utvrditi kroz naredne cikluse planiranja.</w:t>
      </w:r>
    </w:p>
    <w:p w14:paraId="46A3BB27" w14:textId="3CC94BE2" w:rsidR="009F5F1F" w:rsidRPr="00C77FF0" w:rsidRDefault="009F5F1F" w:rsidP="006D799B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Što se tiče ocjene nivoa postignuća </w:t>
      </w:r>
      <w:r w:rsidR="00CC0A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posebnih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ciljeva, te doprinosa istih 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realizaciji srednjoročnoga cilja na osnovu dijagrama logičke mape se može ustvrditi kako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6D799B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je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veza između istih </w:t>
      </w:r>
      <w:r w:rsidR="00083984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uspostavljena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  <w:r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</w:t>
      </w:r>
      <w:r w:rsidR="00083984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Shodno tome</w:t>
      </w:r>
      <w:r w:rsidR="006D799B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,</w:t>
      </w:r>
      <w:r w:rsidR="00083984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p</w:t>
      </w:r>
      <w:r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rethodno navedene akcije u dijagramu slijede logiku postavljanja projekata koji vode </w:t>
      </w:r>
      <w:r w:rsidR="006D799B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prema</w:t>
      </w:r>
      <w:r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programima, te programa koji svojo</w:t>
      </w:r>
      <w:r w:rsidR="00083984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m realizacijom ispunjavaju zadat</w:t>
      </w:r>
      <w:r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e posebne ciljeve</w:t>
      </w:r>
      <w:r w:rsidR="00083984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,</w:t>
      </w:r>
      <w:r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a doprinose zajedno ostvarenju </w:t>
      </w:r>
      <w:r w:rsidR="00083984"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>srednjoročnoga</w:t>
      </w:r>
      <w:r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cilja.</w:t>
      </w:r>
    </w:p>
    <w:p w14:paraId="4F904CB7" w14:textId="77777777" w:rsidR="009F5F1F" w:rsidRPr="00C77FF0" w:rsidRDefault="009F5F1F" w:rsidP="009F5F1F">
      <w:pPr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br w:type="page"/>
      </w:r>
    </w:p>
    <w:tbl>
      <w:tblPr>
        <w:tblStyle w:val="TableGrid1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0"/>
        <w:gridCol w:w="2239"/>
        <w:gridCol w:w="2127"/>
        <w:gridCol w:w="2268"/>
      </w:tblGrid>
      <w:tr w:rsidR="00F97433" w:rsidRPr="00F97433" w14:paraId="19B10F97" w14:textId="77777777" w:rsidTr="00F97433">
        <w:tc>
          <w:tcPr>
            <w:tcW w:w="740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18BCAA0A" w14:textId="77777777" w:rsidR="009F5F1F" w:rsidRPr="00F97433" w:rsidRDefault="009F5F1F" w:rsidP="009F5F1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lastRenderedPageBreak/>
              <w:t>Projekti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650DC280" w14:textId="77777777" w:rsidR="009F5F1F" w:rsidRPr="00F97433" w:rsidRDefault="009F5F1F" w:rsidP="009F5F1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Programi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43B48BF2" w14:textId="77777777" w:rsidR="009F5F1F" w:rsidRPr="00F97433" w:rsidRDefault="00812B63" w:rsidP="009F5F1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Posebni</w:t>
            </w:r>
            <w:r w:rsidR="009F5F1F" w:rsidRPr="00F9743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ciljevi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024BDB77" w14:textId="77777777" w:rsidR="009F5F1F" w:rsidRPr="00F97433" w:rsidRDefault="009F5F1F" w:rsidP="009F5F1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Srednjoročni cilj</w:t>
            </w:r>
          </w:p>
        </w:tc>
      </w:tr>
      <w:tr w:rsidR="009F5F1F" w:rsidRPr="00F97433" w14:paraId="3561444D" w14:textId="77777777" w:rsidTr="00F97433">
        <w:trPr>
          <w:trHeight w:val="1197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2311915" w14:textId="77777777" w:rsidR="009F5F1F" w:rsidRPr="00F97433" w:rsidRDefault="009F5F1F" w:rsidP="009F5F1F">
            <w:pPr>
              <w:spacing w:before="120"/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2.1.1.1 Revidiranje Sporazuma o saradnji Vijeća ministara BiH i nevladinog sektora u BiH</w:t>
            </w:r>
          </w:p>
          <w:p w14:paraId="60007F33" w14:textId="77777777" w:rsidR="009F5F1F" w:rsidRPr="00F97433" w:rsidRDefault="009F5F1F" w:rsidP="009F5F1F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2.1.1.2 Provođenje programa EU Evropa za građane 2014. – 2020.</w:t>
            </w:r>
          </w:p>
          <w:p w14:paraId="4A2BF03A" w14:textId="77777777" w:rsidR="009F5F1F" w:rsidRPr="00F97433" w:rsidRDefault="009F5F1F" w:rsidP="009F5F1F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2.1.1.3 Stvaranje pretpostavki za transparentno finansiranje organizacija civilnog društva.</w:t>
            </w:r>
          </w:p>
          <w:p w14:paraId="26D545BA" w14:textId="77777777" w:rsidR="009F5F1F" w:rsidRPr="00F97433" w:rsidRDefault="009F5F1F" w:rsidP="009F5F1F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2.1.1.4 Provođenje Pravila za konsultacije u izradi propisa u MP BiH</w:t>
            </w:r>
          </w:p>
          <w:p w14:paraId="7AD79FA2" w14:textId="77777777" w:rsidR="009F5F1F" w:rsidRPr="00F97433" w:rsidRDefault="009F5F1F" w:rsidP="009F5F1F">
            <w:pPr>
              <w:spacing w:after="120"/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2.1.1.5 Pomoć pri registraciji udruženje građana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89DC" w14:textId="77777777" w:rsidR="009F5F1F" w:rsidRPr="00F97433" w:rsidRDefault="009F5F1F" w:rsidP="009F5F1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2.1.1</w:t>
            </w:r>
          </w:p>
          <w:p w14:paraId="79B8619D" w14:textId="77777777" w:rsidR="009F5F1F" w:rsidRPr="00F97433" w:rsidRDefault="009F5F1F" w:rsidP="009F5F1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Okvir za aktivniji angažman civilnog društva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5212" w14:textId="77777777" w:rsidR="00F97433" w:rsidRDefault="00F97433" w:rsidP="009F5F1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Posebni cilj 2.1:</w:t>
            </w:r>
          </w:p>
          <w:p w14:paraId="3AA6020C" w14:textId="44106909" w:rsidR="009F5F1F" w:rsidRPr="00F97433" w:rsidRDefault="009F5F1F" w:rsidP="009F5F1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Stvaranje pretpostavki za aktivniji angažman civilnog društva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86996" w14:textId="77777777" w:rsidR="004D0599" w:rsidRPr="00F97433" w:rsidRDefault="004D0599" w:rsidP="009F5F1F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</w:t>
            </w:r>
          </w:p>
          <w:p w14:paraId="61E99110" w14:textId="77777777" w:rsidR="009F5F1F" w:rsidRPr="00F97433" w:rsidRDefault="003E0E4A" w:rsidP="009F5F1F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</w:t>
            </w:r>
            <w:r w:rsidR="009F5F1F"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izrade politika, procesa integracije u EU i reforme javne uprave</w:t>
            </w:r>
          </w:p>
        </w:tc>
      </w:tr>
      <w:tr w:rsidR="009F5F1F" w:rsidRPr="00F97433" w14:paraId="065903FB" w14:textId="77777777" w:rsidTr="00F97433">
        <w:trPr>
          <w:trHeight w:val="1074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1A9E9FC" w14:textId="77777777" w:rsidR="009F5F1F" w:rsidRPr="00F97433" w:rsidRDefault="009F5F1F" w:rsidP="009F5F1F">
            <w:pPr>
              <w:spacing w:before="120"/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2.2.2.1 Poboljšanje inspekcijskog nadzora kroz edukaciju i povećanje broja inspektora</w:t>
            </w:r>
          </w:p>
          <w:p w14:paraId="0663DAF7" w14:textId="77777777" w:rsidR="009F5F1F" w:rsidRPr="00F97433" w:rsidRDefault="009F5F1F" w:rsidP="009F5F1F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2.2.2.2 Praćenje provođenja zakona i podzakonskih akata u institucijama BiH iz nadležnosti upravne inspekcije</w:t>
            </w:r>
          </w:p>
          <w:p w14:paraId="618F3DF9" w14:textId="77777777" w:rsidR="009F5F1F" w:rsidRPr="00F97433" w:rsidRDefault="009F5F1F" w:rsidP="009F5F1F">
            <w:pPr>
              <w:spacing w:after="120"/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2.2.2.3 Izrada i podnošenje godišnjeg zbirnog izvještaja upravnog rješavanja u institucijama BiH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58A4" w14:textId="77777777" w:rsidR="009F5F1F" w:rsidRPr="00F97433" w:rsidRDefault="009F5F1F" w:rsidP="009F5F1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2.2.1</w:t>
            </w:r>
          </w:p>
          <w:p w14:paraId="33101883" w14:textId="77777777" w:rsidR="009F5F1F" w:rsidRPr="00F97433" w:rsidRDefault="003E0E4A" w:rsidP="009F5F1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</w:t>
            </w:r>
            <w:r w:rsidR="009F5F1F"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zakonodavnog okvira, kapaciteta i vođenja upravnog postupka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E4579" w14:textId="7049FACE" w:rsidR="004D0599" w:rsidRPr="00F97433" w:rsidRDefault="00F97433" w:rsidP="009F5F1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Posebni cilj 2.2:</w:t>
            </w:r>
          </w:p>
          <w:p w14:paraId="3908CCB1" w14:textId="77777777" w:rsidR="009F5F1F" w:rsidRPr="00F97433" w:rsidRDefault="009F5F1F" w:rsidP="004D0599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Dalje </w:t>
            </w:r>
            <w:r w:rsidR="004D0599"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</w:t>
            </w:r>
            <w:r w:rsidR="003E0E4A"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napređenje</w:t>
            </w: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sistema uprave i upravne inspekcije BiH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71CD3" w14:textId="77777777" w:rsidR="009F5F1F" w:rsidRPr="00F97433" w:rsidRDefault="009F5F1F" w:rsidP="009F5F1F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9F5F1F" w:rsidRPr="00F97433" w14:paraId="2EAD7EA7" w14:textId="77777777" w:rsidTr="00F97433">
        <w:trPr>
          <w:trHeight w:val="1080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EDEFD42" w14:textId="77777777" w:rsidR="009F5F1F" w:rsidRPr="00F97433" w:rsidRDefault="009F5F1F" w:rsidP="009F5F1F">
            <w:pPr>
              <w:spacing w:before="120"/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2.2.2.1 Poboljšanje inspekcijskog nadzora kroz edukaciju i povećanje broja inspektora</w:t>
            </w:r>
          </w:p>
          <w:p w14:paraId="0C0C3291" w14:textId="77777777" w:rsidR="009F5F1F" w:rsidRPr="00F97433" w:rsidRDefault="009F5F1F" w:rsidP="009F5F1F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2.2.2.2 Praćenje provođenja zakona i podzakonskih akata u institucijama BiH iz nadležnosti upravne inspekcije</w:t>
            </w:r>
          </w:p>
          <w:p w14:paraId="284D3943" w14:textId="77777777" w:rsidR="009F5F1F" w:rsidRPr="00F97433" w:rsidRDefault="009F5F1F" w:rsidP="009F5F1F">
            <w:pPr>
              <w:spacing w:after="120"/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2.2.2.3 Izrada i podnošenje godišnjeg zbirnog izvještaja upravnog rješavanja u institucijama BiH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72F0" w14:textId="4B7D55D8" w:rsidR="009F5F1F" w:rsidRPr="00F97433" w:rsidRDefault="00F97433" w:rsidP="009F5F1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2.2.2</w:t>
            </w:r>
          </w:p>
          <w:p w14:paraId="40337169" w14:textId="77777777" w:rsidR="009F5F1F" w:rsidRPr="00F97433" w:rsidRDefault="009F5F1F" w:rsidP="009F5F1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Provođenje</w:t>
            </w:r>
          </w:p>
          <w:p w14:paraId="1841B6FC" w14:textId="77777777" w:rsidR="009F5F1F" w:rsidRPr="00F97433" w:rsidRDefault="009F5F1F" w:rsidP="009F5F1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inspekcijskog nadzora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F701D" w14:textId="77777777" w:rsidR="009F5F1F" w:rsidRPr="00F97433" w:rsidRDefault="009F5F1F" w:rsidP="009F5F1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FCA41" w14:textId="77777777" w:rsidR="009F5F1F" w:rsidRPr="00F97433" w:rsidRDefault="009F5F1F" w:rsidP="009F5F1F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</w:tbl>
    <w:p w14:paraId="5F96A722" w14:textId="77777777" w:rsidR="009F5F1F" w:rsidRPr="00C77FF0" w:rsidRDefault="009F5F1F" w:rsidP="009F5F1F">
      <w:pPr>
        <w:rPr>
          <w:sz w:val="24"/>
          <w:szCs w:val="24"/>
        </w:rPr>
      </w:pPr>
      <w:r w:rsidRPr="00C77FF0">
        <w:rPr>
          <w:sz w:val="24"/>
          <w:szCs w:val="24"/>
        </w:rPr>
        <w:br w:type="page"/>
      </w:r>
    </w:p>
    <w:tbl>
      <w:tblPr>
        <w:tblStyle w:val="TableGrid1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0"/>
        <w:gridCol w:w="2239"/>
        <w:gridCol w:w="2127"/>
        <w:gridCol w:w="2268"/>
      </w:tblGrid>
      <w:tr w:rsidR="00F97433" w:rsidRPr="00F97433" w14:paraId="1EE74DE4" w14:textId="77777777" w:rsidTr="002B35C2">
        <w:tc>
          <w:tcPr>
            <w:tcW w:w="740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40347945" w14:textId="77777777" w:rsidR="009F5F1F" w:rsidRPr="00F97433" w:rsidRDefault="009F5F1F" w:rsidP="009F5F1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lastRenderedPageBreak/>
              <w:t>Projekti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597A6EFE" w14:textId="77777777" w:rsidR="009F5F1F" w:rsidRPr="00F97433" w:rsidRDefault="009F5F1F" w:rsidP="009F5F1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Programi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7086CB8E" w14:textId="77777777" w:rsidR="009F5F1F" w:rsidRPr="00F97433" w:rsidRDefault="00812B63" w:rsidP="009F5F1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Posebni</w:t>
            </w:r>
            <w:r w:rsidR="009F5F1F" w:rsidRPr="00F9743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 xml:space="preserve"> ciljevi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7EFA2F3B" w14:textId="77777777" w:rsidR="009F5F1F" w:rsidRPr="00F97433" w:rsidRDefault="009F5F1F" w:rsidP="009F5F1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18"/>
                <w:szCs w:val="18"/>
                <w:lang w:val="bs-Latn-BA"/>
              </w:rPr>
              <w:t>Srednjoročni cilj</w:t>
            </w:r>
          </w:p>
        </w:tc>
      </w:tr>
      <w:tr w:rsidR="004D0599" w:rsidRPr="00F97433" w14:paraId="2412D79A" w14:textId="77777777" w:rsidTr="002B35C2">
        <w:trPr>
          <w:trHeight w:val="5465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37DAFB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2.3.1.1 Koordinacija rada organizacionih jedinica MP BiH i odgovornost za korištenje finansijskih i materijalnih resursa i ljudskih potencijala MP BiH</w:t>
            </w:r>
          </w:p>
          <w:p w14:paraId="2F9C8C62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2.3.1.2 Izrada planskih dokumenata i izvještaja o radu</w:t>
            </w:r>
          </w:p>
          <w:p w14:paraId="649A2080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2.3.1.3 Unapređenje kapaciteta SSPKPEI za izradu planskih dokumenata</w:t>
            </w:r>
          </w:p>
          <w:p w14:paraId="68D634A2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2.3.1.4 Uspostava instrumenata za upravljanje praćenja i ocjene provođenja SRSP u BiH</w:t>
            </w:r>
          </w:p>
          <w:p w14:paraId="30E98DC5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2.3.1.5 Održavanje redovnih sastanaka FRG</w:t>
            </w:r>
          </w:p>
          <w:p w14:paraId="713FA7CD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2.3.1.6 Održavanje redovnih sastanaka TS SRSP u BiH</w:t>
            </w:r>
          </w:p>
          <w:p w14:paraId="519178BB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2.3.1.7 Izrada povremenih izvještaja o provođenju SRSP u BiH</w:t>
            </w:r>
          </w:p>
          <w:p w14:paraId="2EB07BE5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2.3.1.8 Održavanje MK ministara pravde i predsjednika VSTV BiH i PK BD</w:t>
            </w:r>
          </w:p>
          <w:p w14:paraId="558B38C9" w14:textId="171B611C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2.3.1.9 Jačanje vještine članova FRG i TS SRSP u BiH za </w:t>
            </w:r>
            <w:r w:rsidR="00A201C8"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organizovanje</w:t>
            </w: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i podršku MK</w:t>
            </w:r>
          </w:p>
          <w:p w14:paraId="1D4BBDFF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2.3.1.10. Unapređenje saradnje između SSPKPEI i sličnih jedinica u sektoru pravde u BiH</w:t>
            </w:r>
          </w:p>
          <w:p w14:paraId="43BC98AA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2.3.1.11 Ostvarenje redovne komunikacije i koordinacije sa DEI u postupku integriranja</w:t>
            </w:r>
          </w:p>
          <w:p w14:paraId="20357C69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2.3.1.12 Učestvovanje u programima tehničke pomoći EK u oblasti usklađivanja zakonodavstva</w:t>
            </w:r>
          </w:p>
          <w:p w14:paraId="2630D5C5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2.3.1.13 Uspostavljanje baze podataka o propisima koji su usklađeni i koje treba uskladiti</w:t>
            </w:r>
          </w:p>
          <w:p w14:paraId="52B4E5A8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2.3.1.14 Izrada i usvajanje AP za usklađivanje zakonodavstva u oblasti sektora pravde</w:t>
            </w:r>
          </w:p>
          <w:p w14:paraId="087B09F3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2.3.1.15 Provođenje Jedinstvenih pravila za izradu pravnih propisa u institucijama BiH u MP BiH</w:t>
            </w:r>
          </w:p>
          <w:p w14:paraId="6FDC7AD7" w14:textId="79CC6FD7" w:rsidR="004D0599" w:rsidRPr="00F97433" w:rsidRDefault="7C1D1F8F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2.3.1.16 Izrada analize potreba za obukom </w:t>
            </w:r>
            <w:r w:rsidR="00034C3C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lica</w:t>
            </w: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sektora pravde u BiH za usklađivanje zakonodavstva sektora pravde u BiH sa pravnim naslijeđem EU</w:t>
            </w:r>
          </w:p>
          <w:p w14:paraId="17B8F991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2.3.1.17 Upravljanje ljudskim potencijalima</w:t>
            </w:r>
          </w:p>
          <w:p w14:paraId="7F5E2CF8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2.3.1.18 Odnosi sa javnošću</w:t>
            </w:r>
          </w:p>
          <w:p w14:paraId="17A6617E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2.3.1.19 Upravljanje budžetom</w:t>
            </w:r>
          </w:p>
          <w:p w14:paraId="7ABF8383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2.3.1.20 Javne nabavke</w:t>
            </w:r>
          </w:p>
          <w:p w14:paraId="38F296DC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2.3.1.21 Upravljanje dokumentima</w:t>
            </w:r>
          </w:p>
          <w:p w14:paraId="7E4D42D3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2.3.1.22 Upravna i tehnička podrška</w:t>
            </w:r>
          </w:p>
          <w:p w14:paraId="63EC54BA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2.3.1.23 Interna revizija</w:t>
            </w:r>
          </w:p>
          <w:p w14:paraId="4609E819" w14:textId="3FB38F85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</w:t>
            </w:r>
            <w:r w:rsid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3.1.24 Stručni časopis "Pravna r</w:t>
            </w: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evija Bosne i Hercegovine"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4068" w14:textId="18200BE1" w:rsidR="004D0599" w:rsidRPr="00F97433" w:rsidRDefault="00F97433" w:rsidP="00F97433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2.3.1</w:t>
            </w:r>
          </w:p>
          <w:p w14:paraId="6E309D41" w14:textId="77777777" w:rsidR="004D0599" w:rsidRPr="00F97433" w:rsidRDefault="004D0599" w:rsidP="00F97433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Upravljanje i koordinacija u sektoru pravde u BiH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CC031" w14:textId="77777777" w:rsidR="00F97433" w:rsidRDefault="00F97433" w:rsidP="00F97433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Posebni cilj 2.3:</w:t>
            </w:r>
          </w:p>
          <w:p w14:paraId="4AB3EAAB" w14:textId="7175FC34" w:rsidR="004D0599" w:rsidRPr="00F97433" w:rsidRDefault="004D0599" w:rsidP="00F97433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Uspješna koordinacija i jačanje uloga i odgovornosti najvažnijih institucija u sektoru pravde u BiH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D3FC6" w14:textId="77777777" w:rsidR="004D0599" w:rsidRPr="00F97433" w:rsidRDefault="004D0599" w:rsidP="00F974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</w:t>
            </w:r>
          </w:p>
          <w:p w14:paraId="51257A6B" w14:textId="77777777" w:rsidR="004D0599" w:rsidRPr="00F97433" w:rsidRDefault="004D0599" w:rsidP="00F97433">
            <w:pPr>
              <w:ind w:left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Unapređenje izrade politika, procesa integracije u EU i reforme javne uprave</w:t>
            </w:r>
          </w:p>
        </w:tc>
      </w:tr>
      <w:tr w:rsidR="004D0599" w:rsidRPr="00F97433" w14:paraId="31E4FEB6" w14:textId="77777777" w:rsidTr="002B35C2">
        <w:trPr>
          <w:trHeight w:val="808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9C5AE1" w14:textId="77777777" w:rsidR="004D0599" w:rsidRPr="00F97433" w:rsidRDefault="004D0599" w:rsidP="00F97433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2.3.2.1 Izrada smjernica o metodologiji i načinima izrade politika u sektoru pravde u BiH</w:t>
            </w:r>
          </w:p>
          <w:p w14:paraId="449C61CF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2.3.2.2 Identificiranje izvora, vrsta i načina prikupljanja, pristupa i korištenja</w:t>
            </w:r>
          </w:p>
          <w:p w14:paraId="29B84133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relevantnih informacija u sektoru pravde u BiH</w:t>
            </w:r>
          </w:p>
          <w:p w14:paraId="622AC065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2.3.2.3 Jačanje uloge Foruma za zajedničku politiku (FZP) MP BiH i VSTV</w:t>
            </w:r>
          </w:p>
          <w:p w14:paraId="1B873322" w14:textId="77777777" w:rsidR="004D0599" w:rsidRPr="00F97433" w:rsidRDefault="004D0599" w:rsidP="00F97433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2.3.2.4 Održavanje tematskih konferencija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19CF" w14:textId="77777777" w:rsidR="004D0599" w:rsidRPr="00F97433" w:rsidRDefault="004D0599" w:rsidP="00F97433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2.3.2 </w:t>
            </w:r>
          </w:p>
          <w:p w14:paraId="1E04E136" w14:textId="77777777" w:rsidR="004D0599" w:rsidRPr="00F97433" w:rsidRDefault="004D0599" w:rsidP="00F97433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Jačanje kapaciteta za izradu analiza i politika u sektoru pravde u BiH</w:t>
            </w:r>
          </w:p>
        </w:tc>
        <w:tc>
          <w:tcPr>
            <w:tcW w:w="2127" w:type="dxa"/>
            <w:vMerge/>
            <w:vAlign w:val="center"/>
          </w:tcPr>
          <w:p w14:paraId="5B95CD12" w14:textId="77777777" w:rsidR="004D0599" w:rsidRPr="00F97433" w:rsidRDefault="004D0599" w:rsidP="00F97433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2268" w:type="dxa"/>
            <w:vMerge/>
            <w:vAlign w:val="center"/>
          </w:tcPr>
          <w:p w14:paraId="5220BBB2" w14:textId="77777777" w:rsidR="004D0599" w:rsidRPr="00F97433" w:rsidRDefault="004D0599" w:rsidP="00F97433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</w:tr>
      <w:tr w:rsidR="004D0599" w:rsidRPr="00F97433" w14:paraId="6EAE0EB1" w14:textId="77777777" w:rsidTr="002B35C2">
        <w:trPr>
          <w:trHeight w:val="1365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5C90D9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2.3.3.1 Jačanje koordinacije i komunikacije u sektoru pravde u BiH u pripremi donatorskih projekata i određivanje prioriteta</w:t>
            </w:r>
          </w:p>
          <w:p w14:paraId="689123E7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2.3.3.2 Izrada godišnjih izvještaja o učinkovitosti donatorske pomoći u sektoru pravde u BiH</w:t>
            </w:r>
          </w:p>
          <w:p w14:paraId="3D61EA17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2.3.3.3 Redovno održavanje baze podataka kontakata donatora, donatorskih projekata i mape pokrivenosti strateških programa iz SRSP u BiH sa donatorskom pomoći</w:t>
            </w:r>
          </w:p>
          <w:p w14:paraId="706C9DC3" w14:textId="7046756F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2.3.3.4 Stvaranje pretpostavki za </w:t>
            </w:r>
            <w:r w:rsidR="00C04964"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provođenje</w:t>
            </w: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DIS-a u skladu s ustavnim nadležnostima</w:t>
            </w:r>
          </w:p>
          <w:p w14:paraId="217C9646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2.3.3.5 Unapređenje ljudskih potencijala osoblja SSPKPEI za donatorsku pomoć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702C" w14:textId="77777777" w:rsidR="004D0599" w:rsidRPr="00F97433" w:rsidRDefault="004D0599" w:rsidP="00F97433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2.3.3 </w:t>
            </w:r>
          </w:p>
          <w:p w14:paraId="051FC66B" w14:textId="77777777" w:rsidR="004D0599" w:rsidRPr="00F97433" w:rsidRDefault="004D0599" w:rsidP="00F97433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Donatorska koordinacija u sektoru pravde u BiH</w:t>
            </w:r>
          </w:p>
        </w:tc>
        <w:tc>
          <w:tcPr>
            <w:tcW w:w="2127" w:type="dxa"/>
            <w:vMerge/>
            <w:vAlign w:val="center"/>
          </w:tcPr>
          <w:p w14:paraId="13CB595B" w14:textId="77777777" w:rsidR="004D0599" w:rsidRPr="00F97433" w:rsidRDefault="004D0599" w:rsidP="00F974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2268" w:type="dxa"/>
            <w:vMerge/>
            <w:vAlign w:val="center"/>
          </w:tcPr>
          <w:p w14:paraId="6D9C8D39" w14:textId="77777777" w:rsidR="004D0599" w:rsidRPr="00F97433" w:rsidRDefault="004D0599" w:rsidP="00F9743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bs-Latn-BA"/>
              </w:rPr>
            </w:pPr>
          </w:p>
        </w:tc>
      </w:tr>
      <w:tr w:rsidR="004D0599" w:rsidRPr="00F97433" w14:paraId="521CD05A" w14:textId="77777777" w:rsidTr="002B35C2">
        <w:trPr>
          <w:trHeight w:val="87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D8BF88" w14:textId="77777777" w:rsidR="004D0599" w:rsidRPr="00F97433" w:rsidRDefault="004D0599" w:rsidP="00F97433">
            <w:pPr>
              <w:ind w:left="1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2.3.4.1 Upravljanje registrom zaloga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C850" w14:textId="77777777" w:rsidR="004D0599" w:rsidRPr="00F97433" w:rsidRDefault="004D0599" w:rsidP="00F97433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97433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2.3.4 Registracija zaloga</w:t>
            </w:r>
          </w:p>
        </w:tc>
        <w:tc>
          <w:tcPr>
            <w:tcW w:w="2127" w:type="dxa"/>
            <w:vMerge/>
            <w:vAlign w:val="center"/>
          </w:tcPr>
          <w:p w14:paraId="675E05EE" w14:textId="77777777" w:rsidR="004D0599" w:rsidRPr="00F97433" w:rsidRDefault="004D0599" w:rsidP="00F974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</w:tc>
        <w:tc>
          <w:tcPr>
            <w:tcW w:w="2268" w:type="dxa"/>
            <w:vMerge/>
            <w:vAlign w:val="center"/>
          </w:tcPr>
          <w:p w14:paraId="2FC17F8B" w14:textId="77777777" w:rsidR="004D0599" w:rsidRPr="00F97433" w:rsidRDefault="004D0599" w:rsidP="00F9743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bs-Latn-BA"/>
              </w:rPr>
            </w:pPr>
          </w:p>
        </w:tc>
      </w:tr>
    </w:tbl>
    <w:p w14:paraId="0A4F7224" w14:textId="77777777" w:rsidR="009F5F1F" w:rsidRPr="00C77FF0" w:rsidRDefault="009F5F1F" w:rsidP="00F9743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br w:type="page"/>
      </w:r>
    </w:p>
    <w:tbl>
      <w:tblPr>
        <w:tblStyle w:val="TableGrid0"/>
        <w:tblW w:w="4962" w:type="pc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1" w:type="dxa"/>
          <w:left w:w="107" w:type="dxa"/>
          <w:right w:w="3" w:type="dxa"/>
        </w:tblCellMar>
        <w:tblLook w:val="04A0" w:firstRow="1" w:lastRow="0" w:firstColumn="1" w:lastColumn="0" w:noHBand="0" w:noVBand="1"/>
      </w:tblPr>
      <w:tblGrid>
        <w:gridCol w:w="1875"/>
        <w:gridCol w:w="8384"/>
        <w:gridCol w:w="1686"/>
        <w:gridCol w:w="1941"/>
      </w:tblGrid>
      <w:tr w:rsidR="002B35C2" w:rsidRPr="002B35C2" w14:paraId="77AB9A75" w14:textId="77777777" w:rsidTr="002B35C2">
        <w:trPr>
          <w:trHeight w:val="397"/>
        </w:trPr>
        <w:tc>
          <w:tcPr>
            <w:tcW w:w="3694" w:type="pct"/>
            <w:gridSpan w:val="2"/>
            <w:shd w:val="clear" w:color="auto" w:fill="44546A" w:themeFill="text2"/>
            <w:vAlign w:val="center"/>
          </w:tcPr>
          <w:p w14:paraId="4E9C2D33" w14:textId="4DB11472" w:rsidR="002B35C2" w:rsidRPr="002B35C2" w:rsidRDefault="002B35C2" w:rsidP="002B35C2">
            <w:pPr>
              <w:snapToGrid w:val="0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bs-Latn-BA"/>
              </w:rPr>
              <w:lastRenderedPageBreak/>
              <w:t xml:space="preserve">Srednjoročni cilj: </w:t>
            </w:r>
            <w:r w:rsidRPr="002B35C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bs-Latn-BA"/>
              </w:rPr>
              <w:t>Unapređenje izrade politika, procesa integracije u EU i reforme javne uprave</w:t>
            </w:r>
          </w:p>
        </w:tc>
        <w:tc>
          <w:tcPr>
            <w:tcW w:w="607" w:type="pct"/>
            <w:shd w:val="clear" w:color="auto" w:fill="44546A" w:themeFill="text2"/>
            <w:vAlign w:val="center"/>
          </w:tcPr>
          <w:p w14:paraId="587ECC33" w14:textId="77777777" w:rsidR="002B35C2" w:rsidRPr="002B35C2" w:rsidRDefault="002B35C2" w:rsidP="002B35C2">
            <w:pPr>
              <w:snapToGrid w:val="0"/>
              <w:ind w:right="104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Početna vrijednost</w:t>
            </w:r>
          </w:p>
          <w:p w14:paraId="136CB618" w14:textId="77777777" w:rsidR="002B35C2" w:rsidRPr="002B35C2" w:rsidRDefault="002B35C2" w:rsidP="002B35C2">
            <w:pPr>
              <w:snapToGrid w:val="0"/>
              <w:ind w:left="16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(2015.)</w:t>
            </w:r>
          </w:p>
        </w:tc>
        <w:tc>
          <w:tcPr>
            <w:tcW w:w="699" w:type="pct"/>
            <w:shd w:val="clear" w:color="auto" w:fill="44546A" w:themeFill="text2"/>
            <w:vAlign w:val="center"/>
          </w:tcPr>
          <w:p w14:paraId="4C9269F8" w14:textId="77777777" w:rsidR="002B35C2" w:rsidRPr="002B35C2" w:rsidRDefault="002B35C2" w:rsidP="002B35C2">
            <w:pPr>
              <w:snapToGrid w:val="0"/>
              <w:ind w:right="26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Očekivana vrijednost</w:t>
            </w:r>
          </w:p>
          <w:p w14:paraId="27F8323A" w14:textId="77777777" w:rsidR="002B35C2" w:rsidRPr="002B35C2" w:rsidRDefault="002B35C2" w:rsidP="002B35C2">
            <w:pPr>
              <w:snapToGrid w:val="0"/>
              <w:ind w:right="26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(2018.)</w:t>
            </w:r>
          </w:p>
        </w:tc>
      </w:tr>
      <w:tr w:rsidR="009F5F1F" w:rsidRPr="002B35C2" w14:paraId="494D4E7B" w14:textId="77777777" w:rsidTr="002B35C2">
        <w:trPr>
          <w:trHeight w:val="351"/>
        </w:trPr>
        <w:tc>
          <w:tcPr>
            <w:tcW w:w="675" w:type="pct"/>
            <w:vMerge w:val="restart"/>
            <w:vAlign w:val="center"/>
          </w:tcPr>
          <w:p w14:paraId="676682C0" w14:textId="1662DF2A" w:rsidR="009F5F1F" w:rsidRPr="002B35C2" w:rsidRDefault="002B35C2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>Pokazatelj uspjeha</w:t>
            </w:r>
          </w:p>
        </w:tc>
        <w:tc>
          <w:tcPr>
            <w:tcW w:w="3019" w:type="pct"/>
            <w:vAlign w:val="center"/>
          </w:tcPr>
          <w:p w14:paraId="79D55CD7" w14:textId="77777777" w:rsidR="009F5F1F" w:rsidRPr="002B35C2" w:rsidRDefault="009F5F1F" w:rsidP="009F5F1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2.1 Nivo do kojeg je uspostavljen funkcionalan sistem koordinacije i uprave</w:t>
            </w:r>
          </w:p>
        </w:tc>
        <w:tc>
          <w:tcPr>
            <w:tcW w:w="607" w:type="pct"/>
            <w:vAlign w:val="center"/>
          </w:tcPr>
          <w:p w14:paraId="7A344C63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40%</w:t>
            </w:r>
          </w:p>
        </w:tc>
        <w:tc>
          <w:tcPr>
            <w:tcW w:w="699" w:type="pct"/>
            <w:vAlign w:val="center"/>
          </w:tcPr>
          <w:p w14:paraId="4E8D77EE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60%</w:t>
            </w:r>
          </w:p>
        </w:tc>
      </w:tr>
      <w:tr w:rsidR="009F5F1F" w:rsidRPr="002B35C2" w14:paraId="40C3AAF2" w14:textId="77777777" w:rsidTr="002B35C2">
        <w:trPr>
          <w:trHeight w:val="518"/>
        </w:trPr>
        <w:tc>
          <w:tcPr>
            <w:tcW w:w="675" w:type="pct"/>
            <w:vMerge/>
            <w:vAlign w:val="center"/>
          </w:tcPr>
          <w:p w14:paraId="5AE48A43" w14:textId="77777777" w:rsidR="009F5F1F" w:rsidRPr="002B35C2" w:rsidRDefault="009F5F1F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3019" w:type="pct"/>
            <w:vAlign w:val="center"/>
          </w:tcPr>
          <w:p w14:paraId="61FBA03B" w14:textId="77777777" w:rsidR="009F5F1F" w:rsidRPr="002B35C2" w:rsidRDefault="009F5F1F" w:rsidP="009F5F1F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 Indeks vladavine prava za oblasti ograničenja državnih ovlasti, odsutnosti korupcije, otvorene vlasti i provođenja propisa</w:t>
            </w:r>
          </w:p>
        </w:tc>
        <w:tc>
          <w:tcPr>
            <w:tcW w:w="607" w:type="pct"/>
            <w:vAlign w:val="center"/>
          </w:tcPr>
          <w:p w14:paraId="221320B8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0.5</w:t>
            </w:r>
          </w:p>
        </w:tc>
        <w:tc>
          <w:tcPr>
            <w:tcW w:w="699" w:type="pct"/>
            <w:vAlign w:val="center"/>
          </w:tcPr>
          <w:p w14:paraId="04545F12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0.6</w:t>
            </w:r>
          </w:p>
        </w:tc>
      </w:tr>
      <w:tr w:rsidR="009F5F1F" w:rsidRPr="002B35C2" w14:paraId="70A17D76" w14:textId="77777777" w:rsidTr="002B35C2">
        <w:trPr>
          <w:trHeight w:val="347"/>
        </w:trPr>
        <w:tc>
          <w:tcPr>
            <w:tcW w:w="675" w:type="pct"/>
            <w:vAlign w:val="center"/>
          </w:tcPr>
          <w:p w14:paraId="249EABEB" w14:textId="3A686888" w:rsidR="009F5F1F" w:rsidRPr="002B35C2" w:rsidRDefault="00812B63" w:rsidP="009F5F1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Posebni</w:t>
            </w:r>
            <w:r w:rsidR="002B35C2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 xml:space="preserve"> cilj 1</w:t>
            </w:r>
          </w:p>
        </w:tc>
        <w:tc>
          <w:tcPr>
            <w:tcW w:w="4325" w:type="pct"/>
            <w:gridSpan w:val="3"/>
            <w:vAlign w:val="center"/>
          </w:tcPr>
          <w:p w14:paraId="47B71A05" w14:textId="77777777" w:rsidR="009F5F1F" w:rsidRPr="002B35C2" w:rsidRDefault="009F5F1F" w:rsidP="009F5F1F">
            <w:pPr>
              <w:snapToGrid w:val="0"/>
              <w:ind w:left="1"/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Stvaranje pretpostavki za aktivniji angažman civilnog društva</w:t>
            </w:r>
          </w:p>
        </w:tc>
      </w:tr>
      <w:tr w:rsidR="009F5F1F" w:rsidRPr="002B35C2" w14:paraId="4050BCE8" w14:textId="77777777" w:rsidTr="002B35C2">
        <w:trPr>
          <w:trHeight w:val="202"/>
        </w:trPr>
        <w:tc>
          <w:tcPr>
            <w:tcW w:w="675" w:type="pct"/>
            <w:vMerge w:val="restart"/>
            <w:vAlign w:val="center"/>
          </w:tcPr>
          <w:p w14:paraId="19C19B84" w14:textId="6E365359" w:rsidR="009F5F1F" w:rsidRPr="002B35C2" w:rsidRDefault="002B35C2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>Pokazatelj uspjeha</w:t>
            </w:r>
          </w:p>
        </w:tc>
        <w:tc>
          <w:tcPr>
            <w:tcW w:w="3019" w:type="pct"/>
            <w:vAlign w:val="center"/>
          </w:tcPr>
          <w:p w14:paraId="44531E7A" w14:textId="77777777" w:rsidR="009F5F1F" w:rsidRPr="002B35C2" w:rsidRDefault="009F5F1F" w:rsidP="009F5F1F">
            <w:pPr>
              <w:snapToGrid w:val="0"/>
              <w:ind w:left="1" w:right="104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1.1 Nivo do kojeg su uspostavljeni institucionalni mehanizmi za saradnju sa OCD</w:t>
            </w:r>
          </w:p>
        </w:tc>
        <w:tc>
          <w:tcPr>
            <w:tcW w:w="607" w:type="pct"/>
            <w:vAlign w:val="center"/>
          </w:tcPr>
          <w:p w14:paraId="17DCED26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20%</w:t>
            </w:r>
          </w:p>
        </w:tc>
        <w:tc>
          <w:tcPr>
            <w:tcW w:w="699" w:type="pct"/>
            <w:vAlign w:val="center"/>
          </w:tcPr>
          <w:p w14:paraId="3F393A7F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100%</w:t>
            </w:r>
          </w:p>
        </w:tc>
      </w:tr>
      <w:tr w:rsidR="009F5F1F" w:rsidRPr="002B35C2" w14:paraId="5DAEFE62" w14:textId="77777777" w:rsidTr="002B35C2">
        <w:trPr>
          <w:trHeight w:val="320"/>
        </w:trPr>
        <w:tc>
          <w:tcPr>
            <w:tcW w:w="675" w:type="pct"/>
            <w:vMerge/>
            <w:vAlign w:val="center"/>
          </w:tcPr>
          <w:p w14:paraId="50F40DEB" w14:textId="77777777" w:rsidR="009F5F1F" w:rsidRPr="002B35C2" w:rsidRDefault="009F5F1F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3019" w:type="pct"/>
            <w:vAlign w:val="center"/>
          </w:tcPr>
          <w:p w14:paraId="6CE33A7F" w14:textId="77777777" w:rsidR="009F5F1F" w:rsidRPr="002B35C2" w:rsidRDefault="009F5F1F" w:rsidP="009F5F1F">
            <w:pPr>
              <w:snapToGrid w:val="0"/>
              <w:ind w:left="1" w:right="104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1.2 Nivo javnih konsultacija u procesu izrade javnih politika</w:t>
            </w:r>
          </w:p>
        </w:tc>
        <w:tc>
          <w:tcPr>
            <w:tcW w:w="607" w:type="pct"/>
            <w:vAlign w:val="center"/>
          </w:tcPr>
          <w:p w14:paraId="0B7AE7F6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100%</w:t>
            </w:r>
          </w:p>
        </w:tc>
        <w:tc>
          <w:tcPr>
            <w:tcW w:w="699" w:type="pct"/>
            <w:vAlign w:val="center"/>
          </w:tcPr>
          <w:p w14:paraId="3E2B4EAC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100%</w:t>
            </w:r>
          </w:p>
        </w:tc>
      </w:tr>
      <w:tr w:rsidR="009F5F1F" w:rsidRPr="002B35C2" w14:paraId="00EAEF70" w14:textId="77777777" w:rsidTr="002B35C2">
        <w:trPr>
          <w:trHeight w:val="537"/>
        </w:trPr>
        <w:tc>
          <w:tcPr>
            <w:tcW w:w="675" w:type="pct"/>
            <w:vMerge/>
            <w:vAlign w:val="center"/>
          </w:tcPr>
          <w:p w14:paraId="77A52294" w14:textId="77777777" w:rsidR="009F5F1F" w:rsidRPr="002B35C2" w:rsidRDefault="009F5F1F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3019" w:type="pct"/>
            <w:vAlign w:val="center"/>
          </w:tcPr>
          <w:p w14:paraId="1715C8D8" w14:textId="77777777" w:rsidR="009F5F1F" w:rsidRPr="002B35C2" w:rsidRDefault="009F5F1F" w:rsidP="009F5F1F">
            <w:pPr>
              <w:snapToGrid w:val="0"/>
              <w:ind w:left="1" w:right="104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1.3 Postotak organizacija civilnog društva koji su uključeni u proces izrade propisa u odnosu na ukupan broj registriranih organizacija civilnog društva</w:t>
            </w:r>
          </w:p>
        </w:tc>
        <w:tc>
          <w:tcPr>
            <w:tcW w:w="607" w:type="pct"/>
            <w:vAlign w:val="center"/>
          </w:tcPr>
          <w:p w14:paraId="2C874B54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20%</w:t>
            </w:r>
          </w:p>
        </w:tc>
        <w:tc>
          <w:tcPr>
            <w:tcW w:w="699" w:type="pct"/>
            <w:vAlign w:val="center"/>
          </w:tcPr>
          <w:p w14:paraId="67611782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60%</w:t>
            </w:r>
          </w:p>
        </w:tc>
      </w:tr>
      <w:tr w:rsidR="009F5F1F" w:rsidRPr="002B35C2" w14:paraId="7FC76019" w14:textId="77777777" w:rsidTr="002B35C2">
        <w:trPr>
          <w:trHeight w:val="537"/>
        </w:trPr>
        <w:tc>
          <w:tcPr>
            <w:tcW w:w="675" w:type="pct"/>
            <w:vMerge/>
            <w:vAlign w:val="center"/>
          </w:tcPr>
          <w:p w14:paraId="007DCDA8" w14:textId="77777777" w:rsidR="009F5F1F" w:rsidRPr="002B35C2" w:rsidRDefault="009F5F1F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3019" w:type="pct"/>
            <w:vAlign w:val="center"/>
          </w:tcPr>
          <w:p w14:paraId="381D2037" w14:textId="77777777" w:rsidR="009F5F1F" w:rsidRPr="002B35C2" w:rsidRDefault="009F5F1F" w:rsidP="009F5F1F">
            <w:pPr>
              <w:snapToGrid w:val="0"/>
              <w:ind w:left="1" w:right="104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1.4 Postotak organizacija civilnog društva koji su uključeni u proces izrade propisa u odnosu na ukupan broj propisa</w:t>
            </w:r>
          </w:p>
        </w:tc>
        <w:tc>
          <w:tcPr>
            <w:tcW w:w="607" w:type="pct"/>
            <w:vAlign w:val="center"/>
          </w:tcPr>
          <w:p w14:paraId="0EEA4D56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0%</w:t>
            </w:r>
          </w:p>
        </w:tc>
        <w:tc>
          <w:tcPr>
            <w:tcW w:w="699" w:type="pct"/>
            <w:vAlign w:val="center"/>
          </w:tcPr>
          <w:p w14:paraId="00697F6D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70%</w:t>
            </w:r>
          </w:p>
        </w:tc>
      </w:tr>
      <w:tr w:rsidR="009F5F1F" w:rsidRPr="002B35C2" w14:paraId="73777CB9" w14:textId="77777777" w:rsidTr="002B35C2">
        <w:trPr>
          <w:trHeight w:val="272"/>
        </w:trPr>
        <w:tc>
          <w:tcPr>
            <w:tcW w:w="675" w:type="pct"/>
            <w:vAlign w:val="center"/>
          </w:tcPr>
          <w:p w14:paraId="3DD7C43A" w14:textId="6C6D8DA3" w:rsidR="009F5F1F" w:rsidRPr="002B35C2" w:rsidRDefault="00812B63" w:rsidP="009F5F1F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Posebni</w:t>
            </w:r>
            <w:r w:rsidR="002B35C2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 xml:space="preserve"> cilj 2</w:t>
            </w:r>
          </w:p>
        </w:tc>
        <w:tc>
          <w:tcPr>
            <w:tcW w:w="4325" w:type="pct"/>
            <w:gridSpan w:val="3"/>
            <w:vAlign w:val="center"/>
          </w:tcPr>
          <w:p w14:paraId="5CBC3BE3" w14:textId="77777777" w:rsidR="009F5F1F" w:rsidRPr="002B35C2" w:rsidRDefault="009F5F1F" w:rsidP="009F5F1F">
            <w:pPr>
              <w:snapToGrid w:val="0"/>
              <w:ind w:left="1"/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 xml:space="preserve">Dalje </w:t>
            </w:r>
            <w:r w:rsidR="003E0E4A" w:rsidRPr="002B35C2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Unapređenje</w:t>
            </w:r>
            <w:r w:rsidRPr="002B35C2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 xml:space="preserve"> sistema uprave i upravne inspekcije BiH</w:t>
            </w:r>
          </w:p>
        </w:tc>
      </w:tr>
      <w:tr w:rsidR="009F5F1F" w:rsidRPr="002B35C2" w14:paraId="457A9B30" w14:textId="77777777" w:rsidTr="002B35C2">
        <w:trPr>
          <w:trHeight w:val="203"/>
        </w:trPr>
        <w:tc>
          <w:tcPr>
            <w:tcW w:w="675" w:type="pct"/>
            <w:vMerge w:val="restart"/>
            <w:vAlign w:val="center"/>
          </w:tcPr>
          <w:p w14:paraId="75462D26" w14:textId="77777777" w:rsidR="009F5F1F" w:rsidRPr="002B35C2" w:rsidRDefault="009F5F1F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>Pokazatelj uspjeha</w:t>
            </w:r>
          </w:p>
        </w:tc>
        <w:tc>
          <w:tcPr>
            <w:tcW w:w="3019" w:type="pct"/>
            <w:vAlign w:val="center"/>
          </w:tcPr>
          <w:p w14:paraId="213ABF9A" w14:textId="77777777" w:rsidR="009F5F1F" w:rsidRPr="002B35C2" w:rsidRDefault="004D0599" w:rsidP="009F5F1F">
            <w:pPr>
              <w:snapToGrid w:val="0"/>
              <w:ind w:left="1" w:right="63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2.1 Stepen unapr</w:t>
            </w:r>
            <w:r w:rsidR="009F5F1F"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eđenja zakonodavnog okvira BiH</w:t>
            </w:r>
          </w:p>
        </w:tc>
        <w:tc>
          <w:tcPr>
            <w:tcW w:w="607" w:type="pct"/>
            <w:vAlign w:val="center"/>
          </w:tcPr>
          <w:p w14:paraId="65C13F6F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65%</w:t>
            </w:r>
          </w:p>
        </w:tc>
        <w:tc>
          <w:tcPr>
            <w:tcW w:w="699" w:type="pct"/>
            <w:vAlign w:val="center"/>
          </w:tcPr>
          <w:p w14:paraId="0AF0AFD7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75%</w:t>
            </w:r>
          </w:p>
        </w:tc>
      </w:tr>
      <w:tr w:rsidR="009F5F1F" w:rsidRPr="002B35C2" w14:paraId="25DF588D" w14:textId="77777777" w:rsidTr="002B35C2">
        <w:trPr>
          <w:trHeight w:val="236"/>
        </w:trPr>
        <w:tc>
          <w:tcPr>
            <w:tcW w:w="675" w:type="pct"/>
            <w:vMerge/>
            <w:vAlign w:val="center"/>
          </w:tcPr>
          <w:p w14:paraId="450EA2D7" w14:textId="77777777" w:rsidR="009F5F1F" w:rsidRPr="002B35C2" w:rsidRDefault="009F5F1F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3019" w:type="pct"/>
            <w:vAlign w:val="center"/>
          </w:tcPr>
          <w:p w14:paraId="3E00F5D4" w14:textId="41DF8FB7" w:rsidR="009F5F1F" w:rsidRPr="002B35C2" w:rsidRDefault="004D0599" w:rsidP="004D0599">
            <w:pPr>
              <w:snapToGrid w:val="0"/>
              <w:ind w:left="1" w:right="63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2.2 Stepen unapr</w:t>
            </w:r>
            <w:r w:rsid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</w:t>
            </w:r>
            <w:r w:rsidR="00D51663"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="009F5F1F"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eđenosti upravnog rješavanja i upravnog nadzora nad radom institucija BiH</w:t>
            </w:r>
          </w:p>
        </w:tc>
        <w:tc>
          <w:tcPr>
            <w:tcW w:w="607" w:type="pct"/>
            <w:vAlign w:val="center"/>
          </w:tcPr>
          <w:p w14:paraId="135DF624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65%</w:t>
            </w:r>
          </w:p>
        </w:tc>
        <w:tc>
          <w:tcPr>
            <w:tcW w:w="699" w:type="pct"/>
            <w:vAlign w:val="center"/>
          </w:tcPr>
          <w:p w14:paraId="1008D354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80%</w:t>
            </w:r>
          </w:p>
        </w:tc>
      </w:tr>
      <w:tr w:rsidR="009F5F1F" w:rsidRPr="002B35C2" w14:paraId="46A7F0CC" w14:textId="77777777" w:rsidTr="002B35C2">
        <w:trPr>
          <w:trHeight w:val="198"/>
        </w:trPr>
        <w:tc>
          <w:tcPr>
            <w:tcW w:w="675" w:type="pct"/>
            <w:vMerge/>
            <w:vAlign w:val="center"/>
          </w:tcPr>
          <w:p w14:paraId="3DD355C9" w14:textId="77777777" w:rsidR="009F5F1F" w:rsidRPr="002B35C2" w:rsidRDefault="009F5F1F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3019" w:type="pct"/>
            <w:vAlign w:val="center"/>
          </w:tcPr>
          <w:p w14:paraId="189DA654" w14:textId="77777777" w:rsidR="009F5F1F" w:rsidRPr="002B35C2" w:rsidRDefault="009F5F1F" w:rsidP="009F5F1F">
            <w:pPr>
              <w:snapToGrid w:val="0"/>
              <w:ind w:left="1" w:right="63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2.3 Prosječan vremenski period trajanja registracije</w:t>
            </w:r>
          </w:p>
        </w:tc>
        <w:tc>
          <w:tcPr>
            <w:tcW w:w="607" w:type="pct"/>
            <w:vAlign w:val="center"/>
          </w:tcPr>
          <w:p w14:paraId="60DA3216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30</w:t>
            </w:r>
          </w:p>
        </w:tc>
        <w:tc>
          <w:tcPr>
            <w:tcW w:w="699" w:type="pct"/>
            <w:vAlign w:val="center"/>
          </w:tcPr>
          <w:p w14:paraId="18E8C380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30</w:t>
            </w:r>
          </w:p>
        </w:tc>
      </w:tr>
      <w:tr w:rsidR="009F5F1F" w:rsidRPr="002B35C2" w14:paraId="0B9D9763" w14:textId="77777777" w:rsidTr="002B35C2">
        <w:trPr>
          <w:trHeight w:val="161"/>
        </w:trPr>
        <w:tc>
          <w:tcPr>
            <w:tcW w:w="675" w:type="pct"/>
            <w:vMerge/>
            <w:vAlign w:val="center"/>
          </w:tcPr>
          <w:p w14:paraId="1A81F0B1" w14:textId="77777777" w:rsidR="009F5F1F" w:rsidRPr="002B35C2" w:rsidRDefault="009F5F1F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3019" w:type="pct"/>
            <w:vAlign w:val="center"/>
          </w:tcPr>
          <w:p w14:paraId="2E3C77A4" w14:textId="77777777" w:rsidR="009F5F1F" w:rsidRPr="002B35C2" w:rsidRDefault="009F5F1F" w:rsidP="009F5F1F">
            <w:pPr>
              <w:snapToGrid w:val="0"/>
              <w:ind w:left="1" w:right="63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2.4 Prosječan trošak po registraciji</w:t>
            </w:r>
          </w:p>
        </w:tc>
        <w:tc>
          <w:tcPr>
            <w:tcW w:w="607" w:type="pct"/>
            <w:vAlign w:val="center"/>
          </w:tcPr>
          <w:p w14:paraId="144EC99B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246</w:t>
            </w:r>
          </w:p>
        </w:tc>
        <w:tc>
          <w:tcPr>
            <w:tcW w:w="699" w:type="pct"/>
            <w:vAlign w:val="center"/>
          </w:tcPr>
          <w:p w14:paraId="2C25EB65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246</w:t>
            </w:r>
          </w:p>
        </w:tc>
      </w:tr>
      <w:tr w:rsidR="009F5F1F" w:rsidRPr="002B35C2" w14:paraId="3E047B2F" w14:textId="77777777" w:rsidTr="002B35C2">
        <w:trPr>
          <w:trHeight w:val="264"/>
        </w:trPr>
        <w:tc>
          <w:tcPr>
            <w:tcW w:w="675" w:type="pct"/>
            <w:vAlign w:val="center"/>
          </w:tcPr>
          <w:p w14:paraId="3DEC2E36" w14:textId="77777777" w:rsidR="009F5F1F" w:rsidRPr="002B35C2" w:rsidRDefault="00812B63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>Posebni</w:t>
            </w:r>
            <w:r w:rsidR="009F5F1F" w:rsidRPr="002B35C2"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 xml:space="preserve"> cilj 3</w:t>
            </w:r>
          </w:p>
        </w:tc>
        <w:tc>
          <w:tcPr>
            <w:tcW w:w="4325" w:type="pct"/>
            <w:gridSpan w:val="3"/>
            <w:vAlign w:val="center"/>
          </w:tcPr>
          <w:p w14:paraId="48B5D2DC" w14:textId="77777777" w:rsidR="009F5F1F" w:rsidRPr="002B35C2" w:rsidRDefault="009F5F1F" w:rsidP="009F5F1F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s-Latn-BA"/>
              </w:rPr>
              <w:t>Uspješna koordinacija jačanje uloga i odgovornosti najvažnijih institucija u sektoru pravde u BiH</w:t>
            </w:r>
          </w:p>
        </w:tc>
      </w:tr>
      <w:tr w:rsidR="009F5F1F" w:rsidRPr="002B35C2" w14:paraId="05759908" w14:textId="77777777" w:rsidTr="002B35C2">
        <w:trPr>
          <w:trHeight w:val="368"/>
        </w:trPr>
        <w:tc>
          <w:tcPr>
            <w:tcW w:w="675" w:type="pct"/>
            <w:vMerge w:val="restart"/>
            <w:vAlign w:val="center"/>
          </w:tcPr>
          <w:p w14:paraId="2756CE35" w14:textId="77777777" w:rsidR="009F5F1F" w:rsidRPr="002B35C2" w:rsidRDefault="009F5F1F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bs-Latn-BA"/>
              </w:rPr>
              <w:t>Pokazatelj uspjeha</w:t>
            </w:r>
          </w:p>
        </w:tc>
        <w:tc>
          <w:tcPr>
            <w:tcW w:w="3019" w:type="pct"/>
            <w:vAlign w:val="center"/>
          </w:tcPr>
          <w:p w14:paraId="23BE6E34" w14:textId="77777777" w:rsidR="009F5F1F" w:rsidRPr="002B35C2" w:rsidRDefault="009F5F1F" w:rsidP="009F5F1F">
            <w:pPr>
              <w:snapToGrid w:val="0"/>
              <w:ind w:left="1" w:right="63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3.1 Nivo do kojeg je uspostavljen funkcionalan sistem koordinacije i odgovornosti</w:t>
            </w:r>
          </w:p>
        </w:tc>
        <w:tc>
          <w:tcPr>
            <w:tcW w:w="607" w:type="pct"/>
            <w:vAlign w:val="center"/>
          </w:tcPr>
          <w:p w14:paraId="66BFF4E7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65%</w:t>
            </w:r>
          </w:p>
        </w:tc>
        <w:tc>
          <w:tcPr>
            <w:tcW w:w="699" w:type="pct"/>
            <w:vAlign w:val="center"/>
          </w:tcPr>
          <w:p w14:paraId="3A68B751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75%</w:t>
            </w:r>
          </w:p>
        </w:tc>
      </w:tr>
      <w:tr w:rsidR="009F5F1F" w:rsidRPr="002B35C2" w14:paraId="1101BEEE" w14:textId="77777777" w:rsidTr="002B35C2">
        <w:trPr>
          <w:trHeight w:val="218"/>
        </w:trPr>
        <w:tc>
          <w:tcPr>
            <w:tcW w:w="675" w:type="pct"/>
            <w:vMerge/>
            <w:vAlign w:val="center"/>
          </w:tcPr>
          <w:p w14:paraId="717AAFBA" w14:textId="77777777" w:rsidR="009F5F1F" w:rsidRPr="002B35C2" w:rsidRDefault="009F5F1F" w:rsidP="009F5F1F">
            <w:pPr>
              <w:snapToGrid w:val="0"/>
              <w:ind w:right="66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3019" w:type="pct"/>
            <w:vAlign w:val="center"/>
          </w:tcPr>
          <w:p w14:paraId="1DB4249F" w14:textId="7665965E" w:rsidR="009F5F1F" w:rsidRPr="002B35C2" w:rsidRDefault="7C1D1F8F" w:rsidP="7C1D1F8F">
            <w:pPr>
              <w:snapToGrid w:val="0"/>
              <w:ind w:left="1" w:right="63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3.2 Nivo do kojeg je uspostavljen funkcionalan sistem usklađivanja zakonodavstva sa pravnim naslijeđem EU</w:t>
            </w:r>
          </w:p>
        </w:tc>
        <w:tc>
          <w:tcPr>
            <w:tcW w:w="607" w:type="pct"/>
            <w:vAlign w:val="center"/>
          </w:tcPr>
          <w:p w14:paraId="3CA9BCDB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65%</w:t>
            </w:r>
          </w:p>
        </w:tc>
        <w:tc>
          <w:tcPr>
            <w:tcW w:w="699" w:type="pct"/>
            <w:vAlign w:val="center"/>
          </w:tcPr>
          <w:p w14:paraId="276DDEAE" w14:textId="77777777" w:rsidR="009F5F1F" w:rsidRPr="002B35C2" w:rsidRDefault="009F5F1F" w:rsidP="009F5F1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2B35C2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75%</w:t>
            </w:r>
          </w:p>
        </w:tc>
      </w:tr>
    </w:tbl>
    <w:p w14:paraId="56EE48EE" w14:textId="77777777" w:rsidR="009F5F1F" w:rsidRPr="00C77FF0" w:rsidRDefault="009F5F1F" w:rsidP="009F5F1F">
      <w:pPr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br w:type="page"/>
      </w:r>
    </w:p>
    <w:p w14:paraId="38DD7DA6" w14:textId="7C9B5333" w:rsidR="009F5F1F" w:rsidRPr="00C77FF0" w:rsidRDefault="009F5F1F" w:rsidP="00D51663">
      <w:pPr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lastRenderedPageBreak/>
        <w:t xml:space="preserve">Većina postavljenih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je mjerljiva na osnovu izvještaja o radu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 BiH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i podataka koji se </w:t>
      </w:r>
      <w:r w:rsidR="00D516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dostavljaju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na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tromjesečnom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 polugodišnjem ili</w:t>
      </w:r>
      <w:r w:rsidR="00D516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godišnjem nivou. Izuzetak je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pokazatelj </w:t>
      </w:r>
      <w:r w:rsidR="00D516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srednjoročnoga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cilja</w:t>
      </w:r>
      <w:r w:rsidR="00D516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2.1.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koji je moguće izmjeriti na osnovu ostvarenih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niže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navedenih rezultata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s tim da i u tom slučaju se radi samo o doprinosu MP BiH cjelokupnom cilju, s obzirom da i druge institucije direktno ili </w:t>
      </w:r>
      <w:r w:rsidR="00D516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indirektno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učestvuju i doprinose ovom cilju</w:t>
      </w:r>
      <w:r w:rsidR="00D516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 MP BiH je u tu svrhu definisa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 i vrijednost indikatora</w:t>
      </w:r>
      <w:r w:rsidR="00D516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 te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ograničio </w:t>
      </w:r>
      <w:r w:rsidR="00D51663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se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na dostupne podatke (Strategije za reformu </w:t>
      </w:r>
      <w:r w:rsid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javne uprave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u BiH).</w:t>
      </w:r>
    </w:p>
    <w:p w14:paraId="6F3FF021" w14:textId="217FC33E" w:rsidR="009F5F1F" w:rsidRPr="00C77FF0" w:rsidRDefault="00D51663" w:rsidP="00D51663">
      <w:pPr>
        <w:spacing w:before="60" w:after="6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Za jedan od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pokazatelja</w:t>
      </w:r>
      <w:r w:rsidR="00D060B6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ije navedena početna vrijednost,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s tim da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se u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SPR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MP BiH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napominje nepostojanje mogućnosti tačnog izračuna trenutne vrijednosti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zbog nedostatka relevantnih podataka što se odražava i na realnost cilj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ne vrijednosti. S obzirom na to u narednom ciklusu ažuriranja SPR MP BiH preformulacijom </w:t>
      </w:r>
      <w:r w:rsidR="00D060B6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 tim da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se u </w:t>
      </w:r>
      <w:r w:rsidR="00D060B6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SPR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MP BiH </w:t>
      </w:r>
      <w:r w:rsidR="00D060B6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napominje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i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nalaženjem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relevantnih podataka izračunate su polazne vrijednosti i preciznije određene cilj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ne vrijednosti.</w:t>
      </w:r>
    </w:p>
    <w:p w14:paraId="0AA3678B" w14:textId="5B677510" w:rsidR="009F5F1F" w:rsidRPr="00C77FF0" w:rsidRDefault="00D51663" w:rsidP="00D51663">
      <w:pPr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 osnovu izvještaja i rezultata ostvaren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ja ciljeva evaluacija takođe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nalazi da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koji se odnosi na realizaciju normativno-pravnih aktivnosti u oblasti uprave je ambiciozno postavljen i u narednom periodu je potrebno da se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pažljivije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razmotre rizici koji nisu na nivou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 BiH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i p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rotiv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mjere za provođenje planiranih aktivnosti.</w:t>
      </w:r>
    </w:p>
    <w:p w14:paraId="4108712B" w14:textId="4582F103" w:rsidR="00D51663" w:rsidRPr="00C77FF0" w:rsidRDefault="00D51663" w:rsidP="00D51663">
      <w:pPr>
        <w:spacing w:before="60" w:after="6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I za upravu SPR MP BiH za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cilja je odabrao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mjerljiv od treće strane, a radi se takođe o indeks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pokazatelju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srednjoročnoga cilja koji mjeri izvještaj projekta svjetske pravde „Rule of Law“ u relevantnim oblastima. U namjeri da mjera uspjeha bude što objektivnija, ipak većina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pokazatelja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je mjerena unutar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 BiH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. U budućem ciklusu planiranja je potrebno isto uzeti u obzir i pokušati identifikovati dodatne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pokazatelje mjerene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van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 BiH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 a da ukazuju na rezultate rada MP BiH. Trenutno za indeks „Rule of Law“ nije moguće precizno odrediti doprinos pojedinačne institucije što je preporuka da se razmotri i nastoji utvrditi kroz naredne cikluse planiranja.</w:t>
      </w:r>
    </w:p>
    <w:p w14:paraId="5533BE8E" w14:textId="77777777" w:rsidR="00D51663" w:rsidRPr="00C77FF0" w:rsidRDefault="00D51663" w:rsidP="00D51663">
      <w:pPr>
        <w:spacing w:before="120" w:after="120" w:line="240" w:lineRule="auto"/>
        <w:jc w:val="both"/>
        <w:rPr>
          <w:rFonts w:ascii="Times New Roman" w:eastAsia="PMingLiU" w:hAnsi="Times New Roman" w:cs="Times New Roman"/>
          <w:i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Što se tiče ocjene nivoa postignuća </w:t>
      </w:r>
      <w:r w:rsidR="00CC0AB9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posebnih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ciljeva, te doprinosa istih realizaciji srednjoročnoga cilja na osnovu dijagrama logičke mape se može ustvrditi kako veza između istih je uspostavljena.</w:t>
      </w:r>
      <w:r w:rsidRPr="00C77FF0">
        <w:rPr>
          <w:rFonts w:ascii="Times New Roman" w:eastAsia="PMingLiU" w:hAnsi="Times New Roman" w:cs="Times New Roman"/>
          <w:bCs/>
          <w:iCs/>
          <w:sz w:val="24"/>
          <w:szCs w:val="24"/>
          <w:lang w:eastAsia="zh-TW" w:bidi="as-IN"/>
        </w:rPr>
        <w:t xml:space="preserve"> Shodno tome prethodno navedene akcije u dijagramu slijede logiku postavljanja projekata koji vode ka programima, te programa koji svojom realizacijom ispunjavaju zadate posebne ciljeve, a doprinose zajedno ostvarenju srednjoročnoga cilja.</w:t>
      </w:r>
    </w:p>
    <w:p w14:paraId="2908EB2C" w14:textId="77777777" w:rsidR="00D51663" w:rsidRPr="00C77FF0" w:rsidRDefault="00D51663" w:rsidP="009F5F1F">
      <w:pPr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</w:p>
    <w:p w14:paraId="121FD38A" w14:textId="77777777" w:rsidR="00D51663" w:rsidRPr="00C77FF0" w:rsidRDefault="00D51663" w:rsidP="009F5F1F">
      <w:pP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sectPr w:rsidR="00D51663" w:rsidRPr="00C77FF0" w:rsidSect="004D0599">
          <w:headerReference w:type="first" r:id="rId11"/>
          <w:pgSz w:w="16838" w:h="11906" w:orient="landscape" w:code="9"/>
          <w:pgMar w:top="1134" w:right="1418" w:bottom="1134" w:left="1418" w:header="709" w:footer="567" w:gutter="0"/>
          <w:cols w:space="708"/>
          <w:titlePg/>
          <w:docGrid w:linePitch="360"/>
        </w:sectPr>
      </w:pPr>
    </w:p>
    <w:p w14:paraId="49305DE0" w14:textId="67720525" w:rsidR="009F5F1F" w:rsidRPr="001B20A1" w:rsidRDefault="009F5F1F" w:rsidP="001B20A1">
      <w:pPr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1B20A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lastRenderedPageBreak/>
        <w:t>Pokazatelji uspjeha po evaluacijskim oblastima za srednjoročni cilj 1 i 2</w:t>
      </w:r>
      <w:r w:rsidR="001B20A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su predstavljeni u nastavku.</w:t>
      </w:r>
    </w:p>
    <w:p w14:paraId="1FE2DD96" w14:textId="0D63D474" w:rsidR="009F5F1F" w:rsidRPr="00C77FF0" w:rsidRDefault="00034C3C" w:rsidP="009F5F1F">
      <w:pPr>
        <w:spacing w:before="120"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Relevantnost: 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Procjena </w:t>
      </w:r>
      <w:r w:rsidR="002A5A8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opsega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do ko</w:t>
      </w:r>
      <w:r w:rsidR="001B20A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g je </w:t>
      </w:r>
      <w:r w:rsidR="001B20A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nivoa 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SPR </w:t>
      </w:r>
      <w:r w:rsidR="001B20A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MP BiH 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u skladu s relevantnim nacionalnim strategijama i prioritetima, a pogotovo </w:t>
      </w:r>
      <w:r w:rsidR="001B20A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SPR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1B20A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VM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BiH. Bilo kakve kontekstualne promjene i faktori (npr. politički, sigurnosni, ekološki, društveni, itd.) koji eventualno utiču na planiranje i </w:t>
      </w:r>
      <w:r w:rsidR="00C04964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provođenje</w:t>
      </w:r>
      <w:r w:rsidR="009F5F1F"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programa morali su biti pravilno i na vrijeme prepoz</w:t>
      </w:r>
      <w:r w:rsidR="001B20A1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nati, analizirani i objašnjeni.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2692"/>
        <w:gridCol w:w="6260"/>
      </w:tblGrid>
      <w:tr w:rsidR="001B20A1" w:rsidRPr="001B20A1" w14:paraId="0F4C7FED" w14:textId="77777777" w:rsidTr="001B20A1">
        <w:tc>
          <w:tcPr>
            <w:tcW w:w="2722" w:type="dxa"/>
            <w:shd w:val="clear" w:color="auto" w:fill="auto"/>
          </w:tcPr>
          <w:p w14:paraId="27357532" w14:textId="670784E3" w:rsidR="009F5F1F" w:rsidRPr="001B20A1" w:rsidRDefault="009F5F1F" w:rsidP="009F5F1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shd w:val="pct15" w:color="auto" w:fill="FFFFFF"/>
                <w:lang w:val="bs-Latn-BA"/>
              </w:rPr>
            </w:pPr>
          </w:p>
        </w:tc>
        <w:tc>
          <w:tcPr>
            <w:tcW w:w="6350" w:type="dxa"/>
            <w:shd w:val="clear" w:color="auto" w:fill="44546A" w:themeFill="text2"/>
          </w:tcPr>
          <w:p w14:paraId="681CC52D" w14:textId="77777777" w:rsidR="009F5F1F" w:rsidRPr="001B20A1" w:rsidRDefault="009F5F1F" w:rsidP="009F5F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  <w:lang w:val="bs-Latn-BA"/>
              </w:rPr>
            </w:pPr>
            <w:r w:rsidRPr="001B20A1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  <w:lang w:val="bs-Latn-BA"/>
              </w:rPr>
              <w:t>Komentar</w:t>
            </w:r>
          </w:p>
        </w:tc>
      </w:tr>
      <w:tr w:rsidR="009F5F1F" w:rsidRPr="001B20A1" w14:paraId="2587F931" w14:textId="77777777" w:rsidTr="001B20A1">
        <w:tc>
          <w:tcPr>
            <w:tcW w:w="2722" w:type="dxa"/>
            <w:shd w:val="clear" w:color="auto" w:fill="auto"/>
            <w:vAlign w:val="center"/>
          </w:tcPr>
          <w:p w14:paraId="1E595DE0" w14:textId="77777777" w:rsidR="009F5F1F" w:rsidRPr="001B20A1" w:rsidRDefault="009F5F1F" w:rsidP="001B20A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 kojoj mjeri su ciljevi (srednjoročni i posebni) još uvijek validni?</w:t>
            </w:r>
          </w:p>
        </w:tc>
        <w:tc>
          <w:tcPr>
            <w:tcW w:w="6350" w:type="dxa"/>
            <w:vAlign w:val="center"/>
          </w:tcPr>
          <w:p w14:paraId="4B05F745" w14:textId="77777777" w:rsidR="00D40B7D" w:rsidRDefault="009F5F1F" w:rsidP="001B20A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1B20A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Srednjoročni cilj 1:</w:t>
            </w:r>
          </w:p>
          <w:p w14:paraId="55EDC3B1" w14:textId="3EEBF0DA" w:rsidR="009F5F1F" w:rsidRPr="001B20A1" w:rsidRDefault="009F5F1F" w:rsidP="001B20A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Srednjoročni cilj je preuzet iz Strategije reforme 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sektora</w:t>
            </w:r>
            <w:r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pravde 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u BiH </w:t>
            </w:r>
            <w:r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koja je važila do 20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18. godine. Ista je revidirana tako što je produžen rok važenja do 2020. godine zadržavajući sve strateške ciljeve, 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uz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revidira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nje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Akcionog</w:t>
            </w:r>
            <w:r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plan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</w:t>
            </w:r>
            <w:r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  <w:p w14:paraId="42929038" w14:textId="77777777" w:rsidR="009F5F1F" w:rsidRPr="001B20A1" w:rsidRDefault="004B3395" w:rsidP="001B20A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Na osnovu navedenoga i postojanja strateškog određenja 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srednjoročni cilj 1 </w:t>
            </w:r>
            <w:r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je 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još uvijek validan. Posebni ciljevi </w:t>
            </w:r>
            <w:r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 odnose na provođenje mandata MP BiH u oblasti pravde i kao takvi izvod su srednjoročnog cilja kojem doprinose svojim ostvarenjem. U skladu s ranije navedenim isti su i dalje validni</w:t>
            </w:r>
            <w:r w:rsidR="009F5F1F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  <w:p w14:paraId="627A5AD0" w14:textId="77777777" w:rsidR="00D40B7D" w:rsidRDefault="009F5F1F" w:rsidP="001B20A1">
            <w:pPr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1B20A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Srednjoročni cilj 2:</w:t>
            </w:r>
          </w:p>
          <w:p w14:paraId="25AC0931" w14:textId="0AFAC498" w:rsidR="001B20A1" w:rsidRDefault="009F5F1F" w:rsidP="001B20A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Srednjoročni cilj 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se odnosi na on reformske aktivnosti koje spadaju u oblasti javne uprave i razv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oja civilnog društva. Strategija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za reformu javne uprave u BiH je donesena 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od strane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Vijeća ministara 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BiH, 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</w:t>
            </w:r>
            <w:r w:rsidR="004B339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rokom važenja 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od 2017. do 2022. godine.</w:t>
            </w:r>
          </w:p>
          <w:p w14:paraId="610E43DF" w14:textId="77777777" w:rsidR="001B20A1" w:rsidRDefault="004B3395" w:rsidP="001B20A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Strateške odrednice razvoja civilnog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društva su prepoznate i definis</w:t>
            </w:r>
            <w:r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ane Sporazumom o saradnji Vijeća ministara BiH i nevladinog sektora, a ista pre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dviđa izradu strateškog okvira.</w:t>
            </w:r>
          </w:p>
          <w:p w14:paraId="12B482E2" w14:textId="3D2AE10B" w:rsidR="009F5F1F" w:rsidRPr="001B20A1" w:rsidRDefault="004B3395" w:rsidP="001B20A1">
            <w:pPr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Na osnovu navedenog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,</w:t>
            </w:r>
            <w:r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srednjoročni cilj koji je izveden iz ciljeva Strategije za reformu javne uprave je validan, dok 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je MP BiH nosilac izrade strateškog okvira za </w:t>
            </w:r>
            <w:r w:rsidR="00E066C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razvoj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civilnog društva, tako i cilj koji je postavljen 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 usmjeren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prema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tome i još uvijek je validan.</w:t>
            </w:r>
          </w:p>
        </w:tc>
      </w:tr>
      <w:tr w:rsidR="009F5F1F" w:rsidRPr="001B20A1" w14:paraId="31085495" w14:textId="77777777" w:rsidTr="001B20A1">
        <w:tc>
          <w:tcPr>
            <w:tcW w:w="2722" w:type="dxa"/>
            <w:shd w:val="clear" w:color="auto" w:fill="auto"/>
            <w:vAlign w:val="center"/>
          </w:tcPr>
          <w:p w14:paraId="03EFDB08" w14:textId="77777777" w:rsidR="009F5F1F" w:rsidRPr="001B20A1" w:rsidRDefault="009F5F1F" w:rsidP="001B20A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Da li su aktivnosti i rezultati u skladu sa </w:t>
            </w:r>
            <w:r w:rsidR="00CC0AB9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posebnim</w:t>
            </w:r>
            <w:r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ciljevima i ostvarenjem srednjoročnog cilja?</w:t>
            </w:r>
          </w:p>
        </w:tc>
        <w:tc>
          <w:tcPr>
            <w:tcW w:w="6350" w:type="dxa"/>
            <w:vAlign w:val="center"/>
          </w:tcPr>
          <w:p w14:paraId="37576481" w14:textId="77777777" w:rsidR="00D40B7D" w:rsidRDefault="7C1D1F8F" w:rsidP="001B20A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</w:pPr>
            <w:r w:rsidRPr="001B20A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  <w:lang w:val="bs-Latn-BA"/>
              </w:rPr>
              <w:t>Srednjoročni cilj 1 i 2:</w:t>
            </w:r>
          </w:p>
          <w:p w14:paraId="13FE70DC" w14:textId="2EB76C4D" w:rsidR="009F5F1F" w:rsidRPr="001B20A1" w:rsidRDefault="7C1D1F8F" w:rsidP="001B20A1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bs-Latn-BA"/>
              </w:rPr>
            </w:pPr>
            <w:r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Aktivnosti i rezultati u najvećoj mjeri su u skladu sa posebnim ciljevima i ostvarenjem srednjoročnog cilja. Odstupanje se odnosi na sposobnost </w:t>
            </w:r>
            <w:r w:rsid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MP BiH</w:t>
            </w:r>
            <w:r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za identifikaciju, provođenje i upravljanje provođenjem aktivnosti i rezultata koji proizlaze iz mandata </w:t>
            </w:r>
            <w:r w:rsid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MP BiH</w:t>
            </w:r>
            <w:r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. Nedostatak u procesu planiranja je razdvajanje razvojnih administrativnih aktivnosti od aktivnosti podrške koje je potrebno po određenim kriterijima pripisati razvojnim aktivnostima i rezultatima. Por</w:t>
            </w:r>
            <w:r w:rsid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ed istih, MP BiH </w:t>
            </w:r>
            <w:r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još uvijek nastoji da poveže aktivnosti koje proiz</w:t>
            </w:r>
            <w:r w:rsid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i</w:t>
            </w:r>
            <w:r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laze iz prethodno </w:t>
            </w:r>
            <w:r w:rsid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>definisanih</w:t>
            </w:r>
            <w:r w:rsidRPr="001B20A1"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  <w:t xml:space="preserve"> procesa, a odnose se na provođenje mandata kroz svoju misiju. Provođenje/neprovođenje istih ima direktan uticaj na stepen ostvarenja posebnih ciljeva i srednjoročnog cilja</w:t>
            </w:r>
            <w:r w:rsidRPr="007E6C76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.</w:t>
            </w:r>
          </w:p>
        </w:tc>
      </w:tr>
      <w:tr w:rsidR="009F5F1F" w:rsidRPr="001B20A1" w14:paraId="5256DEE7" w14:textId="77777777" w:rsidTr="001B20A1">
        <w:tc>
          <w:tcPr>
            <w:tcW w:w="2722" w:type="dxa"/>
            <w:shd w:val="clear" w:color="auto" w:fill="auto"/>
            <w:vAlign w:val="center"/>
          </w:tcPr>
          <w:p w14:paraId="723C328F" w14:textId="77777777" w:rsidR="009F5F1F" w:rsidRPr="001B20A1" w:rsidRDefault="009F5F1F" w:rsidP="001B20A1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Da li su programi i projekti u skladu sa planiranim uticajima i </w:t>
            </w:r>
            <w:r w:rsidR="00E066C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djelovanjima</w:t>
            </w:r>
            <w:r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?</w:t>
            </w:r>
          </w:p>
        </w:tc>
        <w:tc>
          <w:tcPr>
            <w:tcW w:w="6350" w:type="dxa"/>
          </w:tcPr>
          <w:p w14:paraId="3B7762E5" w14:textId="77777777" w:rsidR="00D40B7D" w:rsidRDefault="009F5F1F" w:rsidP="001B20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1B20A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Srednjoročni cilj 1 i 2:</w:t>
            </w:r>
          </w:p>
          <w:p w14:paraId="0DD65292" w14:textId="6E19BC7C" w:rsidR="009F5F1F" w:rsidRPr="001B20A1" w:rsidRDefault="009F5F1F" w:rsidP="001B20A1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</w:pPr>
            <w:r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U najvećoj mjeri programi i projekti su u skladu sa uticajima i </w:t>
            </w:r>
            <w:r w:rsidR="00E066C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djelovanjima</w:t>
            </w:r>
            <w:r w:rsidR="00E066C5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koji su s planom </w:t>
            </w:r>
            <w:r w:rsid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identifikovani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. R</w:t>
            </w:r>
            <w:r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izici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, slabosti i snage </w:t>
            </w:r>
            <w:r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su 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u najvećoj mjeri uzeti u obzir </w:t>
            </w:r>
            <w:r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prilikom </w:t>
            </w:r>
            <w:r w:rsidR="002B0F8D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definisanja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programa i projekata, ali 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do kraja 2018. </w:t>
            </w:r>
            <w:r w:rsidR="001B20A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G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odine</w:t>
            </w:r>
            <w:r w:rsid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,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osim sažeto kroz planske dokumente nije postojalo </w:t>
            </w:r>
            <w:r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sistemsko evidentiranje istih. 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V</w:t>
            </w:r>
            <w:r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anjski uticaji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i </w:t>
            </w:r>
            <w:r w:rsidR="00E066C5" w:rsidRPr="001B20A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djelovanja</w:t>
            </w:r>
            <w:r w:rsidR="00E066C5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su u nedovoljnoj mjeri prepoznati i obrađeni</w:t>
            </w:r>
            <w:r w:rsid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,</w:t>
            </w:r>
            <w:r w:rsidR="007C7571"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 xml:space="preserve"> što je vidljivo iz rezultata i polaznih definicija programa i projekata</w:t>
            </w:r>
            <w:r w:rsidRPr="001B20A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bs-Latn-BA"/>
              </w:rPr>
              <w:t>.</w:t>
            </w:r>
          </w:p>
        </w:tc>
      </w:tr>
    </w:tbl>
    <w:p w14:paraId="07F023C8" w14:textId="77777777" w:rsidR="009F5F1F" w:rsidRPr="00C77FF0" w:rsidRDefault="009F5F1F" w:rsidP="009F5F1F">
      <w:pP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br w:type="page"/>
      </w:r>
    </w:p>
    <w:p w14:paraId="21D149C3" w14:textId="0D1904A1" w:rsidR="009F5F1F" w:rsidRPr="00C77FF0" w:rsidRDefault="009F5F1F" w:rsidP="009F5F1F">
      <w:pPr>
        <w:spacing w:before="120"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lastRenderedPageBreak/>
        <w:t xml:space="preserve">Efektivnost: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Procjena u kojoj je mjeri SPR </w:t>
      </w:r>
      <w:r w:rsidR="007E6C7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MP BiH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postigao planirane rezultate i da li rezultati daju predviđeni ishod u skladu sa </w:t>
      </w:r>
      <w:r w:rsidR="007E6C7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njegovim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ciljevima. Analiza operativnog okruženja i vari</w:t>
      </w:r>
      <w:r w:rsidR="007E6C7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jabli i faktora koji su uti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cali na postizanje očekivanih rezultata.</w:t>
      </w:r>
    </w:p>
    <w:tbl>
      <w:tblPr>
        <w:tblStyle w:val="TableGrid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6392"/>
      </w:tblGrid>
      <w:tr w:rsidR="00D40B7D" w:rsidRPr="00D40B7D" w14:paraId="69BB4E7E" w14:textId="77777777" w:rsidTr="00D40B7D">
        <w:tc>
          <w:tcPr>
            <w:tcW w:w="2694" w:type="dxa"/>
            <w:shd w:val="clear" w:color="auto" w:fill="44546A" w:themeFill="text2"/>
          </w:tcPr>
          <w:p w14:paraId="4BDB5498" w14:textId="77777777" w:rsidR="009F5F1F" w:rsidRPr="00D40B7D" w:rsidRDefault="009F5F1F" w:rsidP="009F5F1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shd w:val="pct15" w:color="auto" w:fill="FFFFFF"/>
                <w:lang w:val="bs-Latn-BA"/>
              </w:rPr>
            </w:pPr>
          </w:p>
        </w:tc>
        <w:tc>
          <w:tcPr>
            <w:tcW w:w="6392" w:type="dxa"/>
            <w:shd w:val="clear" w:color="auto" w:fill="44546A" w:themeFill="text2"/>
          </w:tcPr>
          <w:p w14:paraId="55416A1F" w14:textId="77777777" w:rsidR="009F5F1F" w:rsidRPr="00D40B7D" w:rsidRDefault="009F5F1F" w:rsidP="009F5F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D40B7D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Komentar</w:t>
            </w:r>
          </w:p>
        </w:tc>
      </w:tr>
      <w:tr w:rsidR="009F5F1F" w:rsidRPr="00D40B7D" w14:paraId="0BB3449F" w14:textId="77777777" w:rsidTr="00D40B7D">
        <w:tc>
          <w:tcPr>
            <w:tcW w:w="2694" w:type="dxa"/>
            <w:shd w:val="clear" w:color="auto" w:fill="auto"/>
            <w:vAlign w:val="center"/>
          </w:tcPr>
          <w:p w14:paraId="2B75ABC4" w14:textId="77777777" w:rsidR="009F5F1F" w:rsidRPr="00D40B7D" w:rsidRDefault="009F5F1F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 kojoj mjeri su ostvareni (će v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j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erovatno biti) ostvareni srednjoročni i posebni ciljevi?</w:t>
            </w:r>
          </w:p>
        </w:tc>
        <w:tc>
          <w:tcPr>
            <w:tcW w:w="6392" w:type="dxa"/>
            <w:vAlign w:val="center"/>
          </w:tcPr>
          <w:p w14:paraId="463BFB8A" w14:textId="77777777" w:rsidR="00D40B7D" w:rsidRDefault="009F5F1F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Srednjoročni cilj 1:</w:t>
            </w:r>
          </w:p>
          <w:p w14:paraId="7948769F" w14:textId="062DBD58" w:rsidR="009F5F1F" w:rsidRPr="00D40B7D" w:rsidRDefault="009F5F1F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Prema nalazima izvještaja MP BiH je ispunilo svoje 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posebne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ciljeve u obimu od oko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77 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% i shodno tome 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doprinijelo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ostvarenju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srednjoročnog cilja iz oblasti pravosuđa.</w:t>
            </w:r>
          </w:p>
          <w:p w14:paraId="44371335" w14:textId="77777777" w:rsidR="00D40B7D" w:rsidRDefault="009F5F1F" w:rsidP="00D40B7D">
            <w:pPr>
              <w:rPr>
                <w:sz w:val="18"/>
                <w:szCs w:val="18"/>
                <w:lang w:val="bs-Latn-BA"/>
              </w:rPr>
            </w:pPr>
            <w:r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Srednjoročni cilj 2:</w:t>
            </w:r>
          </w:p>
          <w:p w14:paraId="65E13827" w14:textId="0FE8AB94" w:rsidR="009F5F1F" w:rsidRPr="00D40B7D" w:rsidRDefault="009F5F1F" w:rsidP="00D40B7D">
            <w:pPr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</w:pP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Prema nalazima izvještaja MP BiH je ispunilo svoje 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posebne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ciljeve u obimu od oko</w:t>
            </w:r>
            <w:r w:rsidR="00E066C5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7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9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% i shodno tome 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doprinijelo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ostvarenju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srednjoročnog cilja iz oblasti </w:t>
            </w:r>
            <w:r w:rsidR="005B709A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uprave</w:t>
            </w:r>
          </w:p>
        </w:tc>
      </w:tr>
      <w:tr w:rsidR="009F5F1F" w:rsidRPr="00D40B7D" w14:paraId="5D233B93" w14:textId="77777777" w:rsidTr="00D40B7D">
        <w:tc>
          <w:tcPr>
            <w:tcW w:w="2694" w:type="dxa"/>
            <w:shd w:val="clear" w:color="auto" w:fill="auto"/>
            <w:vAlign w:val="center"/>
          </w:tcPr>
          <w:p w14:paraId="29B374AC" w14:textId="77777777" w:rsidR="009F5F1F" w:rsidRPr="00D40B7D" w:rsidRDefault="009F5F1F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Koji su glavni faktori koji su uticali na ostvarivanje/neostvarivanje srednjoročnih i </w:t>
            </w:r>
            <w:r w:rsidR="00CC0AB9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posebnih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ciljeva?</w:t>
            </w:r>
          </w:p>
        </w:tc>
        <w:tc>
          <w:tcPr>
            <w:tcW w:w="6392" w:type="dxa"/>
            <w:vAlign w:val="center"/>
          </w:tcPr>
          <w:p w14:paraId="7CFE1D3A" w14:textId="77777777" w:rsidR="00D40B7D" w:rsidRDefault="009F5F1F" w:rsidP="00D40B7D">
            <w:pPr>
              <w:rPr>
                <w:sz w:val="18"/>
                <w:szCs w:val="18"/>
                <w:lang w:val="bs-Latn-BA"/>
              </w:rPr>
            </w:pPr>
            <w:r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Srednjoročni cilj 1 i 2:</w:t>
            </w:r>
          </w:p>
          <w:p w14:paraId="08B1142C" w14:textId="3BB4346E" w:rsidR="009F5F1F" w:rsidRPr="00D40B7D" w:rsidRDefault="005B709A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 n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eostvarivanje srednjoročnih i posebnih ciljeva 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su najviše uticali vanjski faktori, a koji se ogledaju 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 proceduralnim poteškoćama, te slaboj komunikaciji i koordinaciji sa drugim institucijama.</w:t>
            </w:r>
          </w:p>
          <w:p w14:paraId="6199E27F" w14:textId="46374FF1" w:rsidR="009F5F1F" w:rsidRPr="00D40B7D" w:rsidRDefault="005B709A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 o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stvarenje istih su uticale unut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r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aš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nje snage i prilike poput osposobljavanja kroz brojne donatorske projekte i tehničku podršku istih, a istakli bi među 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ostalim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i uspostavljanje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sistem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strateškog 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planiranja u institucijama.</w:t>
            </w:r>
          </w:p>
        </w:tc>
      </w:tr>
    </w:tbl>
    <w:p w14:paraId="4AE287DC" w14:textId="7407FFA7" w:rsidR="009F5F1F" w:rsidRPr="00C77FF0" w:rsidRDefault="009F5F1F" w:rsidP="009F5F1F">
      <w:pPr>
        <w:spacing w:before="120"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Efikasnost: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Procjena je li SPR </w:t>
      </w:r>
      <w:r w:rsidR="00D40B7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MP BiH ostvario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rezultate na budžetski učinkovit i </w:t>
      </w:r>
      <w:r w:rsidR="00D40B7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blagovremen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način. Procjena da li su dodijeljeni dovoljni i </w:t>
      </w:r>
      <w:r w:rsidR="00D40B7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odgovarajući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finansijski i ljudski resursi za postizanje očekivanih rezultata. Vrednovanje kako i/ili u kojoj su mjeri pitanja vezana za resurse doprinijela/omogućila/spriječila </w:t>
      </w:r>
      <w:r w:rsidR="00C04964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provođenje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SPR</w:t>
      </w:r>
      <w:r w:rsidR="00D40B7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MP BiH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D40B7D" w:rsidRPr="00D40B7D" w14:paraId="619A0678" w14:textId="77777777" w:rsidTr="00D40B7D">
        <w:tc>
          <w:tcPr>
            <w:tcW w:w="2830" w:type="dxa"/>
            <w:shd w:val="clear" w:color="auto" w:fill="44546A" w:themeFill="text2"/>
          </w:tcPr>
          <w:p w14:paraId="2916C19D" w14:textId="77777777" w:rsidR="009F5F1F" w:rsidRPr="00D40B7D" w:rsidRDefault="009F5F1F" w:rsidP="009F5F1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shd w:val="pct15" w:color="auto" w:fill="FFFFFF"/>
                <w:lang w:val="bs-Latn-BA"/>
              </w:rPr>
            </w:pPr>
          </w:p>
        </w:tc>
        <w:tc>
          <w:tcPr>
            <w:tcW w:w="6230" w:type="dxa"/>
            <w:shd w:val="clear" w:color="auto" w:fill="44546A" w:themeFill="text2"/>
          </w:tcPr>
          <w:p w14:paraId="4769BEBD" w14:textId="77777777" w:rsidR="009F5F1F" w:rsidRPr="00D40B7D" w:rsidRDefault="009F5F1F" w:rsidP="009F5F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D40B7D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Komentar</w:t>
            </w:r>
          </w:p>
        </w:tc>
      </w:tr>
      <w:tr w:rsidR="009F5F1F" w:rsidRPr="00D40B7D" w14:paraId="5E45A26F" w14:textId="77777777" w:rsidTr="00D40B7D">
        <w:tc>
          <w:tcPr>
            <w:tcW w:w="2830" w:type="dxa"/>
            <w:shd w:val="clear" w:color="auto" w:fill="auto"/>
            <w:vAlign w:val="center"/>
          </w:tcPr>
          <w:p w14:paraId="53E30B10" w14:textId="77777777" w:rsidR="009F5F1F" w:rsidRPr="00D40B7D" w:rsidRDefault="009F5F1F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Da li su provedene aktivnosti isplative?</w:t>
            </w:r>
          </w:p>
        </w:tc>
        <w:tc>
          <w:tcPr>
            <w:tcW w:w="6230" w:type="dxa"/>
            <w:vAlign w:val="center"/>
          </w:tcPr>
          <w:p w14:paraId="464503BD" w14:textId="77777777" w:rsidR="00D40B7D" w:rsidRDefault="009F5F1F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Srednjoročni cilj 1 i 2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u w:val="single"/>
                <w:lang w:val="bs-Latn-BA"/>
              </w:rPr>
              <w:t>:</w:t>
            </w:r>
          </w:p>
          <w:p w14:paraId="29B385CC" w14:textId="48F6DC1A" w:rsidR="009F5F1F" w:rsidRPr="00D40B7D" w:rsidRDefault="005B709A" w:rsidP="00D40B7D">
            <w:pPr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</w:pP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Do sada nije ra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đ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ena analiza isplativosti uslužnih djelatnosti koje su u mandatu 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MP BiH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. Ako bi uzeli za primjer registar zaloga, registraciju udruženja i fondacija, te provođenje politike javnih konsultacija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="001A7ABE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pravosudni i stručni upravni ispiti, 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izručenja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i upravljanja transferom osuđenika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imamo potvrdu zadovoljstva korisnika uslugama, ali ne 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 analizu 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da li su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iste 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troškovno efikasne 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u 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poređenju s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alternativnim načinima vođenja istih. U ovom trenutku nije moguće dati ocjenu isplativosti aktivnosti. Za to bi bilo potrebno 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uvođenje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normiranja aktivnosti i rada u javnoj upravi, a što je jedan od kompleksnih zadataka koji ima višeslojne kriterije zbog koji vjerovatno isti do sada nisu ni izrađeni. Dodatno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s 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obzirom na način kako se sada vrši projiciranje sredstava u srednjoročnom planu i 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da se 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isto čini u srednjoročnom okviru rashoda, ali metodološki različito, to čini otežan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im i na taj način dati 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poređenje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isplativosti pojedinačno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provedenih aktivnosti.</w:t>
            </w:r>
          </w:p>
        </w:tc>
      </w:tr>
      <w:tr w:rsidR="009F5F1F" w:rsidRPr="00D40B7D" w14:paraId="6628F49A" w14:textId="77777777" w:rsidTr="00D40B7D">
        <w:trPr>
          <w:trHeight w:val="574"/>
        </w:trPr>
        <w:tc>
          <w:tcPr>
            <w:tcW w:w="2830" w:type="dxa"/>
            <w:shd w:val="clear" w:color="auto" w:fill="auto"/>
            <w:vAlign w:val="center"/>
          </w:tcPr>
          <w:p w14:paraId="5D17F657" w14:textId="77777777" w:rsidR="009F5F1F" w:rsidRPr="00D40B7D" w:rsidRDefault="009F5F1F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Da li su 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posebni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i srednjoročni ciljevi postignuti na vrijeme i u okviru zada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t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ih budžetskih okvira?</w:t>
            </w:r>
          </w:p>
        </w:tc>
        <w:tc>
          <w:tcPr>
            <w:tcW w:w="6230" w:type="dxa"/>
            <w:vAlign w:val="center"/>
          </w:tcPr>
          <w:p w14:paraId="2C55E39D" w14:textId="77777777" w:rsidR="00D40B7D" w:rsidRDefault="009F5F1F" w:rsidP="00D40B7D">
            <w:pPr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</w:pPr>
            <w:r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Srednjoročni cilj 1 i 2:</w:t>
            </w:r>
          </w:p>
          <w:p w14:paraId="0F55C200" w14:textId="7609D878" w:rsidR="009F5F1F" w:rsidRPr="00D40B7D" w:rsidRDefault="0039389C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Posmatrano kroz izvještaje ciljevi su se ostvarivali u najvećoj mjeri na vrijeme i u zadanim budžetskim okvirima</w:t>
            </w:r>
            <w:r w:rsidR="009F5F1F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.</w:t>
            </w:r>
          </w:p>
        </w:tc>
      </w:tr>
      <w:tr w:rsidR="009F5F1F" w:rsidRPr="00D40B7D" w14:paraId="281EF8DD" w14:textId="77777777" w:rsidTr="00D40B7D">
        <w:tc>
          <w:tcPr>
            <w:tcW w:w="2830" w:type="dxa"/>
            <w:shd w:val="clear" w:color="auto" w:fill="auto"/>
            <w:vAlign w:val="center"/>
          </w:tcPr>
          <w:p w14:paraId="72410067" w14:textId="51ACE102" w:rsidR="009F5F1F" w:rsidRPr="00D40B7D" w:rsidRDefault="009F5F1F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Da li je SPR 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MP BiH proveden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na najefikasniji način u poređenju sa drugim mogućnostima?</w:t>
            </w:r>
          </w:p>
        </w:tc>
        <w:tc>
          <w:tcPr>
            <w:tcW w:w="6230" w:type="dxa"/>
            <w:vAlign w:val="center"/>
          </w:tcPr>
          <w:p w14:paraId="2A42BAE0" w14:textId="77777777" w:rsidR="00D40B7D" w:rsidRDefault="009F5F1F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D40B7D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Srednjoročni cilj 1 i 2:</w:t>
            </w:r>
          </w:p>
          <w:p w14:paraId="1AA810A3" w14:textId="316145DD" w:rsidR="009F5F1F" w:rsidRPr="00D40B7D" w:rsidRDefault="009F5F1F" w:rsidP="00D40B7D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S obzirom da 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sam planski dokument nije koncipiran na način da prikazuje alternativne načine rješavanja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, osim navođenja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rizika</w:t>
            </w:r>
            <w:r w:rsid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,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to 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nije moguće dati ocjenu 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stepen</w:t>
            </w:r>
            <w:r w:rsidR="0039389C"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</w:t>
            </w:r>
            <w:r w:rsidRPr="00D40B7D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efikasnosti provođenja plana u odnosu na druge mogućnosti.</w:t>
            </w:r>
          </w:p>
        </w:tc>
      </w:tr>
    </w:tbl>
    <w:p w14:paraId="74869460" w14:textId="77777777" w:rsidR="009F5F1F" w:rsidRPr="00C77FF0" w:rsidRDefault="009F5F1F" w:rsidP="009F5F1F">
      <w:pP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br w:type="page"/>
      </w:r>
    </w:p>
    <w:p w14:paraId="7BA6E952" w14:textId="7BC20A9F" w:rsidR="009F5F1F" w:rsidRPr="00C77FF0" w:rsidRDefault="009F5F1F" w:rsidP="009F5F1F">
      <w:pPr>
        <w:spacing w:before="120"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lastRenderedPageBreak/>
        <w:t xml:space="preserve">Uticaj: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Procjena srednjoročnih (in)direktnih rezultata i drugih pozitivnih/negativnih efekata koje je SRP </w:t>
      </w:r>
      <w:r w:rsidR="00D40B7D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MP BiH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polučio, uključujući i analizu „šansi“ za napredak prema integrisanom, pametnom, održivom i inkluzivnom razvoju.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F705EB" w:rsidRPr="00F705EB" w14:paraId="289F69E9" w14:textId="77777777" w:rsidTr="00F705EB">
        <w:tc>
          <w:tcPr>
            <w:tcW w:w="2830" w:type="dxa"/>
            <w:shd w:val="clear" w:color="auto" w:fill="44546A" w:themeFill="text2"/>
          </w:tcPr>
          <w:p w14:paraId="187F57B8" w14:textId="77777777" w:rsidR="009F5F1F" w:rsidRPr="00F705EB" w:rsidRDefault="009F5F1F" w:rsidP="00D40B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shd w:val="pct15" w:color="auto" w:fill="FFFFFF"/>
                <w:lang w:val="bs-Latn-BA"/>
              </w:rPr>
            </w:pPr>
          </w:p>
        </w:tc>
        <w:tc>
          <w:tcPr>
            <w:tcW w:w="6230" w:type="dxa"/>
            <w:shd w:val="clear" w:color="auto" w:fill="44546A" w:themeFill="text2"/>
          </w:tcPr>
          <w:p w14:paraId="3364C953" w14:textId="77777777" w:rsidR="009F5F1F" w:rsidRPr="00F705EB" w:rsidRDefault="009F5F1F" w:rsidP="00D40B7D">
            <w:pPr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  <w:lang w:val="bs-Latn-BA"/>
              </w:rPr>
            </w:pPr>
            <w:r w:rsidRPr="00F705EB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  <w:lang w:val="bs-Latn-BA"/>
              </w:rPr>
              <w:t>Komentar</w:t>
            </w:r>
          </w:p>
        </w:tc>
      </w:tr>
      <w:tr w:rsidR="009F5F1F" w:rsidRPr="00D40B7D" w14:paraId="06B40657" w14:textId="77777777" w:rsidTr="00F705EB">
        <w:tc>
          <w:tcPr>
            <w:tcW w:w="2830" w:type="dxa"/>
            <w:shd w:val="clear" w:color="auto" w:fill="auto"/>
            <w:vAlign w:val="center"/>
          </w:tcPr>
          <w:p w14:paraId="1C368621" w14:textId="6DC4401A" w:rsidR="009F5F1F" w:rsidRPr="00D40B7D" w:rsidRDefault="009F5F1F" w:rsidP="00F705EB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Šta se dogodilo kao (pozitivna) posljedica provođenja SPR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MP BiH</w:t>
            </w: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i zašto?</w:t>
            </w:r>
          </w:p>
        </w:tc>
        <w:tc>
          <w:tcPr>
            <w:tcW w:w="6230" w:type="dxa"/>
            <w:vAlign w:val="center"/>
          </w:tcPr>
          <w:p w14:paraId="6523FDC3" w14:textId="77777777" w:rsidR="00F705EB" w:rsidRDefault="00F705EB" w:rsidP="00F705E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Srednjoročni cilj 1 i 2:</w:t>
            </w:r>
          </w:p>
          <w:p w14:paraId="3BD3B207" w14:textId="63C3DE5D" w:rsidR="009F5F1F" w:rsidRPr="00D40B7D" w:rsidRDefault="009F5F1F" w:rsidP="00F705EB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Pozi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</w:t>
            </w: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vna posljedica 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provođenja aktivnosti navedenih kroz SPR 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MP BiH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ima za rezultat po</w:t>
            </w: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već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an</w:t>
            </w: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stepen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</w:t>
            </w: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razumijevanja procesa 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unutar MP BiH, ali i svrhe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,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potrebe 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i procesa 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planiranja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,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pa MP BiH 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ima planski dokument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na osnovu kojeg 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sistemski 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upravlja vlastitim mandatom </w:t>
            </w: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(realnije se postavljaju rokovi, 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preciznije </w:t>
            </w: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određuju ciljne vrijednosti, definišu 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pokazatelji</w:t>
            </w: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i sl.).</w:t>
            </w:r>
          </w:p>
          <w:p w14:paraId="71625F76" w14:textId="24E0E974" w:rsidR="009F5F1F" w:rsidRPr="00D40B7D" w:rsidRDefault="009F5F1F" w:rsidP="00F705EB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Uloga koordinatora 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procesa plani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ranja je dobrim dijelom </w:t>
            </w: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prepoznata 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od strane 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organizacionih 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jedinica 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MP BiH </w:t>
            </w: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 dat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</w:t>
            </w: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joj je na značaju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, a</w:t>
            </w: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što je direktno uticalo na povećanje stepena komu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</w:t>
            </w: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ikacije i protoka informacija između organizacionih jedinica. Takođe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,</w:t>
            </w: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su prepoznati </w:t>
            </w:r>
            <w:r w:rsidR="00F705E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su </w:t>
            </w: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 u praksu uvedeni redovni pojedinačni sastanci za planiranje i praćenje provođenja planskih dokumenata.</w:t>
            </w:r>
          </w:p>
          <w:p w14:paraId="2E1D1584" w14:textId="77777777" w:rsidR="009F5F1F" w:rsidRPr="00D40B7D" w:rsidRDefault="009F5F1F" w:rsidP="00F705EB">
            <w:pPr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Olakšan je pristup informacijama koje su sistematski pohranjene u izvještaje, 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kao i </w:t>
            </w: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u posebne analize </w:t>
            </w:r>
            <w:r w:rsidR="0039389C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rada (SWOT)</w:t>
            </w: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.</w:t>
            </w:r>
          </w:p>
        </w:tc>
      </w:tr>
      <w:tr w:rsidR="009F5F1F" w:rsidRPr="00D40B7D" w14:paraId="78BFD3D1" w14:textId="77777777" w:rsidTr="00F705EB">
        <w:tc>
          <w:tcPr>
            <w:tcW w:w="2830" w:type="dxa"/>
            <w:shd w:val="clear" w:color="auto" w:fill="auto"/>
            <w:vAlign w:val="center"/>
          </w:tcPr>
          <w:p w14:paraId="3DA76BAD" w14:textId="77777777" w:rsidR="009F5F1F" w:rsidRPr="00D40B7D" w:rsidRDefault="009F5F1F" w:rsidP="00F705EB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Kakve realne efekte provedene aktivnosti imaju na korisnike/širu zajednicu/društvo?</w:t>
            </w:r>
          </w:p>
        </w:tc>
        <w:tc>
          <w:tcPr>
            <w:tcW w:w="6230" w:type="dxa"/>
            <w:vAlign w:val="center"/>
          </w:tcPr>
          <w:p w14:paraId="4943F217" w14:textId="3910D950" w:rsidR="00F705EB" w:rsidRDefault="009F5F1F" w:rsidP="00F705EB">
            <w:pPr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D40B7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Srednjoročni cilj 1</w:t>
            </w:r>
            <w:r w:rsidR="00F705E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 xml:space="preserve"> i 2</w:t>
            </w:r>
            <w:r w:rsidRPr="00D40B7D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bs-Latn-BA"/>
              </w:rPr>
              <w:t>:</w:t>
            </w:r>
          </w:p>
          <w:p w14:paraId="71D95813" w14:textId="7E4A08B6" w:rsidR="009F5F1F" w:rsidRPr="00D40B7D" w:rsidRDefault="00F705EB" w:rsidP="00F705EB">
            <w:pPr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Kada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govorimo o uticaju sistematskog planiranja na korisnike/širu zajednicu/društvo ista se ogleda u većem stepenu provođenja aktivnosti od interesa za iste, a koji bi bili značajno umanjeni da nije uspostavljena funkcija planiranja 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(npr. pitanja udruženja građana, vođenje registara udruženja građana i nevladinih organizacija koje djeluju na teritoriji BiH, organizacija i </w:t>
            </w:r>
            <w:r w:rsidR="001A7ABE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provođenje</w:t>
            </w:r>
            <w:r w:rsidR="009F5F1F" w:rsidRPr="00D40B7D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stručnih upravnih ispita, omogućavanje elektronskih konsultacija i sl.).</w:t>
            </w:r>
          </w:p>
        </w:tc>
      </w:tr>
    </w:tbl>
    <w:p w14:paraId="4EC23170" w14:textId="4623DF3E" w:rsidR="009F5F1F" w:rsidRPr="00C77FF0" w:rsidRDefault="009F5F1F" w:rsidP="009F5F1F">
      <w:pPr>
        <w:spacing w:before="120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  <w:t xml:space="preserve">Održivost: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Vrednovanje kako i u kojoj mjeri će se prednosti SPR </w:t>
      </w:r>
      <w:r w:rsidR="00F705EB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MP BiH </w:t>
      </w: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nastaviti nakon završetka svih aktivnosti.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F705EB" w:rsidRPr="00F705EB" w14:paraId="528DCEDB" w14:textId="77777777" w:rsidTr="00F705EB">
        <w:trPr>
          <w:trHeight w:val="117"/>
        </w:trPr>
        <w:tc>
          <w:tcPr>
            <w:tcW w:w="2830" w:type="dxa"/>
            <w:shd w:val="clear" w:color="auto" w:fill="44546A" w:themeFill="text2"/>
          </w:tcPr>
          <w:p w14:paraId="54738AF4" w14:textId="77777777" w:rsidR="009F5F1F" w:rsidRPr="00F705EB" w:rsidRDefault="009F5F1F" w:rsidP="00F705E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shd w:val="pct15" w:color="auto" w:fill="FFFFFF"/>
                <w:lang w:val="bs-Latn-BA"/>
              </w:rPr>
            </w:pPr>
          </w:p>
        </w:tc>
        <w:tc>
          <w:tcPr>
            <w:tcW w:w="6230" w:type="dxa"/>
            <w:shd w:val="clear" w:color="auto" w:fill="44546A" w:themeFill="text2"/>
          </w:tcPr>
          <w:p w14:paraId="0C34FBB5" w14:textId="77777777" w:rsidR="009F5F1F" w:rsidRPr="00F705EB" w:rsidRDefault="009F5F1F" w:rsidP="00F705EB">
            <w:pPr>
              <w:jc w:val="center"/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</w:pPr>
            <w:r w:rsidRPr="00F705EB">
              <w:rPr>
                <w:rFonts w:ascii="Times New Roman" w:hAnsi="Times New Roman" w:cs="Times New Roman"/>
                <w:b/>
                <w:iCs/>
                <w:color w:val="FFFFFF" w:themeColor="background1"/>
                <w:sz w:val="18"/>
                <w:szCs w:val="18"/>
                <w:lang w:val="bs-Latn-BA"/>
              </w:rPr>
              <w:t>Komentar</w:t>
            </w:r>
          </w:p>
        </w:tc>
      </w:tr>
      <w:tr w:rsidR="009F5F1F" w:rsidRPr="00F705EB" w14:paraId="1ACC5B5D" w14:textId="77777777" w:rsidTr="00F705EB">
        <w:tc>
          <w:tcPr>
            <w:tcW w:w="2830" w:type="dxa"/>
            <w:shd w:val="clear" w:color="auto" w:fill="auto"/>
            <w:vAlign w:val="center"/>
          </w:tcPr>
          <w:p w14:paraId="0FB32A8E" w14:textId="56DCC025" w:rsidR="009F5F1F" w:rsidRPr="00F705EB" w:rsidRDefault="009F5F1F" w:rsidP="00F705EB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 kojoj mjeri se koristi od SPR</w:t>
            </w:r>
            <w:r w:rsidR="001A7ABE"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-a</w:t>
            </w: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MP BiH </w:t>
            </w: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nastavljaju nakon završetka </w:t>
            </w:r>
            <w:r w:rsid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provođenja</w:t>
            </w: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?</w:t>
            </w:r>
          </w:p>
        </w:tc>
        <w:tc>
          <w:tcPr>
            <w:tcW w:w="6230" w:type="dxa"/>
            <w:vAlign w:val="center"/>
          </w:tcPr>
          <w:p w14:paraId="3AF313DD" w14:textId="77777777" w:rsidR="00F705EB" w:rsidRDefault="009F5F1F" w:rsidP="00F705EB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705EB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Srednjoročni cilj 1 i 2:</w:t>
            </w:r>
          </w:p>
          <w:p w14:paraId="05DA0586" w14:textId="6E66EC30" w:rsidR="009F5F1F" w:rsidRPr="00F705EB" w:rsidRDefault="001A7ABE" w:rsidP="00F705EB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Koristi od SPR-a </w:t>
            </w:r>
            <w:r w:rsid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MP BiH </w:t>
            </w: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navedene u prethodnim odgovorima nastavljaju se u značajnoj mjeri i nakon završetka provođenja s obzirom da</w:t>
            </w:r>
            <w:r w:rsid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je</w:t>
            </w: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MP BiH funkciju planiranja dodijelilo </w:t>
            </w:r>
            <w:r w:rsid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SSPKPEI, koji</w:t>
            </w: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sistemski prati rad </w:t>
            </w:r>
            <w:r w:rsid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MP BiH</w:t>
            </w: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i obavlja pripremu za planiranje. </w:t>
            </w:r>
            <w:r w:rsid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SSPKPEI</w:t>
            </w: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potiče </w:t>
            </w:r>
            <w:r w:rsid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druge organizacion</w:t>
            </w: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e jedinice </w:t>
            </w:r>
            <w:r w:rsid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MP BiH na organizov</w:t>
            </w: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ano upravljanje svojim radom, a što je </w:t>
            </w:r>
            <w:r w:rsidR="002237D3"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prilično </w:t>
            </w: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prepoznata funkcija u MP BiH</w:t>
            </w:r>
            <w:r w:rsidR="002237D3"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i koja je u službi pomoći </w:t>
            </w:r>
            <w:r w:rsid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drugim organizacionim </w:t>
            </w:r>
            <w:r w:rsidR="002237D3"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jedinicama </w:t>
            </w:r>
            <w:r w:rsid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MP BiH</w:t>
            </w:r>
            <w:r w:rsidR="00F705EB"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po </w:t>
            </w: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pitanju planiranj</w:t>
            </w:r>
            <w:r w:rsidR="002237D3"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a rada</w:t>
            </w: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.</w:t>
            </w:r>
          </w:p>
        </w:tc>
      </w:tr>
      <w:tr w:rsidR="009F5F1F" w:rsidRPr="00F705EB" w14:paraId="46E7D8DF" w14:textId="77777777" w:rsidTr="00F705EB">
        <w:tc>
          <w:tcPr>
            <w:tcW w:w="2830" w:type="dxa"/>
            <w:shd w:val="clear" w:color="auto" w:fill="auto"/>
            <w:vAlign w:val="center"/>
          </w:tcPr>
          <w:p w14:paraId="0B69200E" w14:textId="4BDD9DC0" w:rsidR="009F5F1F" w:rsidRPr="00F705EB" w:rsidRDefault="009F5F1F" w:rsidP="00F705EB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Koji su glavni faktori uslijed koji</w:t>
            </w:r>
            <w:r w:rsidR="00D350F1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h</w:t>
            </w: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(ni)je postignuta održivost SPR</w:t>
            </w:r>
            <w:r w:rsid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MP BiH</w:t>
            </w: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?</w:t>
            </w:r>
          </w:p>
        </w:tc>
        <w:tc>
          <w:tcPr>
            <w:tcW w:w="6230" w:type="dxa"/>
            <w:vAlign w:val="center"/>
          </w:tcPr>
          <w:p w14:paraId="303C9935" w14:textId="77777777" w:rsidR="00F705EB" w:rsidRDefault="009F5F1F" w:rsidP="00F705EB">
            <w:pPr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</w:pPr>
            <w:r w:rsidRPr="00F705EB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bs-Latn-BA"/>
              </w:rPr>
              <w:t>Srednjoročni cilj 1 i 2:</w:t>
            </w:r>
          </w:p>
          <w:p w14:paraId="06B04E17" w14:textId="77777777" w:rsidR="00F705EB" w:rsidRDefault="007D7560" w:rsidP="00F705EB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U </w:t>
            </w:r>
            <w:r w:rsidR="00F7404A"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odgovoru na prethodno pitanje</w:t>
            </w: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je </w:t>
            </w:r>
            <w:r w:rsidR="00F7404A"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već </w:t>
            </w:r>
            <w:r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navedeno </w:t>
            </w:r>
            <w:r w:rsidR="00F7404A"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 kojoj mjeri se nastavljaju koristi SPR</w:t>
            </w:r>
            <w:r w:rsid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MP BiH.</w:t>
            </w:r>
          </w:p>
          <w:p w14:paraId="6FE5F94E" w14:textId="14CFFC37" w:rsidR="009F5F1F" w:rsidRPr="00F705EB" w:rsidRDefault="00F705EB" w:rsidP="003A0A4B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Uspostavljanje SSPKPEI, kao</w:t>
            </w:r>
            <w:r w:rsidR="009F5F1F"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="007D7560"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jedinice</w:t>
            </w:r>
            <w:r w:rsidR="009F5F1F"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za strateško planiranje</w:t>
            </w:r>
            <w:r w:rsidR="007D7560"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je najvećim dijelom </w:t>
            </w:r>
            <w:r w:rsidR="003A0A4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doprinijelo</w:t>
            </w:r>
            <w:r w:rsidR="007D7560"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održivosti procesa planiranja</w:t>
            </w:r>
            <w:r w:rsidR="003A0A4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u MP BiH</w:t>
            </w:r>
            <w:r w:rsidR="009F5F1F" w:rsidRPr="00F705EB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.</w:t>
            </w:r>
          </w:p>
        </w:tc>
      </w:tr>
    </w:tbl>
    <w:p w14:paraId="46ABBD8F" w14:textId="34B08D4A" w:rsidR="009F5F1F" w:rsidRPr="00C77FF0" w:rsidRDefault="009F5F1F" w:rsidP="009F5F1F">
      <w:pPr>
        <w:spacing w:before="240" w:after="120"/>
        <w:jc w:val="both"/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 w:bidi="as-IN"/>
        </w:rPr>
      </w:pPr>
      <w:r w:rsidRPr="00C77FF0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 w:bidi="as-IN"/>
        </w:rPr>
        <w:br w:type="page"/>
      </w:r>
    </w:p>
    <w:p w14:paraId="6120C0DF" w14:textId="3E7C97EF" w:rsidR="009F5F1F" w:rsidRPr="00230F08" w:rsidRDefault="00230F08" w:rsidP="00230F08">
      <w:pPr>
        <w:pStyle w:val="Heading1"/>
        <w:numPr>
          <w:ilvl w:val="0"/>
          <w:numId w:val="22"/>
        </w:numPr>
        <w:spacing w:before="0" w:after="120" w:line="240" w:lineRule="auto"/>
        <w:ind w:left="714" w:hanging="357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</w:pPr>
      <w:bookmarkStart w:id="5" w:name="_Toc9178806"/>
      <w:r w:rsidRPr="00230F0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zh-TW" w:bidi="as-IN"/>
        </w:rPr>
        <w:lastRenderedPageBreak/>
        <w:t>ZAKLJUČCI I PREPORUKE</w:t>
      </w:r>
      <w:bookmarkEnd w:id="5"/>
    </w:p>
    <w:p w14:paraId="2D3DFAF6" w14:textId="30FA90A0" w:rsidR="006E3768" w:rsidRPr="00C77FF0" w:rsidRDefault="7C1D1F8F" w:rsidP="003A0A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Analiza podataka na provođenju </w:t>
      </w:r>
      <w:r w:rsidR="003A0A4B">
        <w:rPr>
          <w:rFonts w:ascii="Times New Roman" w:hAnsi="Times New Roman" w:cs="Times New Roman"/>
          <w:sz w:val="24"/>
          <w:szCs w:val="24"/>
          <w:lang w:eastAsia="zh-TW" w:bidi="as-IN"/>
        </w:rPr>
        <w:t>SPR MP BiH</w:t>
      </w:r>
      <w:r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, ali i drugih planskih dokumenata </w:t>
      </w:r>
      <w:r w:rsidR="003A0A4B">
        <w:rPr>
          <w:rFonts w:ascii="Times New Roman" w:hAnsi="Times New Roman" w:cs="Times New Roman"/>
          <w:sz w:val="24"/>
          <w:szCs w:val="24"/>
          <w:lang w:eastAsia="zh-TW" w:bidi="as-IN"/>
        </w:rPr>
        <w:t>je u funkciji pružanja podrške</w:t>
      </w:r>
      <w:r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procesu narednog ciklusa planiranja u odnosu na zadane početne ciljeve i očekivanja. Treba uzeti u obzir da u ovom trenutku, po prvom ciklusu planiranja po novoj metodologiji, još uvijek nije moguće procijeniti sveukupni učinak procesa, kao i cjelokupno ostvarenje ciljeva, posebno na društvenom nivou</w:t>
      </w:r>
      <w:r w:rsidR="003A0A4B">
        <w:rPr>
          <w:rFonts w:ascii="Times New Roman" w:hAnsi="Times New Roman" w:cs="Times New Roman"/>
          <w:sz w:val="24"/>
          <w:szCs w:val="24"/>
          <w:lang w:eastAsia="zh-TW" w:bidi="as-IN"/>
        </w:rPr>
        <w:t>,</w:t>
      </w:r>
      <w:r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niti pristupiti preciznom izračunu troškovne učinkovitosti planskih intervencija. Međutim, rezultati srednjoročnog pregleda mogu pružiti informacije o napretku prema ostvarenju ciljeva, izazovima koji su se pojavili i preporukama za planske dokumente nove generacije (nakon 2020.).</w:t>
      </w:r>
    </w:p>
    <w:p w14:paraId="58A71AE2" w14:textId="77777777" w:rsidR="00B932E5" w:rsidRPr="00C77FF0" w:rsidRDefault="00B932E5" w:rsidP="003A0A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TW" w:bidi="as-IN"/>
        </w:rPr>
      </w:pPr>
      <w:r w:rsidRPr="00C77FF0">
        <w:rPr>
          <w:rFonts w:ascii="Times New Roman" w:hAnsi="Times New Roman" w:cs="Times New Roman"/>
          <w:sz w:val="24"/>
          <w:szCs w:val="24"/>
          <w:lang w:eastAsia="zh-TW" w:bidi="as-IN"/>
        </w:rPr>
        <w:t>U nastavku su preporuke i zaključci dani u odnosu na kriterije evaluacije:</w:t>
      </w:r>
    </w:p>
    <w:p w14:paraId="4FCD5A77" w14:textId="337244D0" w:rsidR="004B7BF3" w:rsidRPr="003A0A4B" w:rsidRDefault="003A0A4B" w:rsidP="003A0A4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A86">
        <w:rPr>
          <w:rFonts w:ascii="Times New Roman" w:hAnsi="Times New Roman" w:cs="Times New Roman"/>
          <w:i/>
          <w:sz w:val="24"/>
          <w:szCs w:val="24"/>
        </w:rPr>
        <w:t>Relevantnost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7C1D1F8F" w:rsidRPr="003A0A4B">
        <w:rPr>
          <w:rFonts w:ascii="Times New Roman" w:hAnsi="Times New Roman" w:cs="Times New Roman"/>
          <w:sz w:val="24"/>
          <w:szCs w:val="24"/>
          <w:lang w:eastAsia="zh-TW" w:bidi="as-IN"/>
        </w:rPr>
        <w:t>Strateški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ciljevi i posebni ciljevi koji odgovaraju na prvobitno evidentirane probleme i potrebe su i dalje aktuelni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,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kako je to prepoznato u strateškom okviru sektora pravde i uprave. Strateške intervencije iz Strategije reforma sektora pravde 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u BiH koje nisu realizov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ane u proteklom periodu su i dalje relevantne i potrebno 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ih 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je 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pažljivo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uzeti u obzir pri definisanju programa i projekata kojim MP BiH doprinosi reformama. U narednom periodu je potrebno posvetiti pažnju analizama politika i alternativnim načinima provođenja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,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posebno u slučajevima intervencija koje nose veliki uticaj, ali u sebi sadrže </w:t>
      </w:r>
      <w:r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i 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rizike 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koji će se sa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velikom vjerovatnoćom 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pojaviti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>. Kada je u pitanju uprava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,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potrebno je dodatno uzeti u o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bzir da intervencije prethodne 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Strategije 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za reformu javne uprave 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>nisu sve provedene, a dobrim dijelom su preuzete u novi strateški okvir za koji još uvijek nije razvijen akcioni plan. Shodno tome MP BiH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,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kao voditelj politika iz oblasti uprave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,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treba voditi računa da slijedi planiranje tih aktivnosti i njihova integracija u vlastite planske dokumente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,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predviđajući i alternativne načine provođenja aktivnosti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,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koji uzimaju u obzir vanjske i unutrašnje uticaje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,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kao 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i 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>rizike na provođenju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,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a jasnim protiv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mjerama za ublažavanje. U ovom trenutku kapaciteti za planiranje 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u MP BiH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u cijelosti su niski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,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što je vidljivo u predmetnom planskom dokumentu prilikom </w:t>
      </w:r>
      <w:r w:rsidR="002B0F8D">
        <w:rPr>
          <w:rFonts w:ascii="Times New Roman" w:hAnsi="Times New Roman" w:cs="Times New Roman"/>
          <w:sz w:val="24"/>
          <w:szCs w:val="24"/>
          <w:lang w:eastAsia="zh-TW" w:bidi="as-IN"/>
        </w:rPr>
        <w:t>definisanja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planskih aktivnosti, ciljeva i a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ktivnosti koje su bile obimne i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ne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>pregledne i otežavaju praćenje. Ranije je već istaknuto kako u ažuriranim dokumentima se očituje napredak u pogledu smanjenja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obima dokumenta i grupisanju aktivnosti, kao i aktivnom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traženju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bolje određenih i preciznijih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pokazatelja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>. U skladu s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a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tim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,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tendencija za unapređenjem procesa planiranja je jasna, ali da bi se udovoljilo zahtjevima kriterija relevantnosti potrebno je nadalje i prema potrebama 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omogućiti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razvoj kapaciteta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,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kako bi se otklonile neusklađenosti između ciljeva, programa i projekata, te uspostavila jasnija veza između istih, kao i nastaviti rad na povezivanju istih sa raspoloživim finansijskim sredstvima i na t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aj način unaprijediti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proces prioritetizacije i kandidovanja projektnih intervencija. U procesu evaluacije uočena je neusklađe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nost između planskih dokumenata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međusobno, kao i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stih s dokumentima drugog nivoa, 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>bez dovoljno obrazloženja razloga izostanka. U naredni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m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intervencijama, prilikom revizija planskih dokumenata, skreće se pažnja da se vodi računa i unaprijedi 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usklađenost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i time ne dovodi u pitanje veza ciljeva s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a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projektnim ishodima.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Dobar dio izazova koji su prim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>jećeni unutar kriterija relevantnosti, ali i drugih kriterija se mogu otkloniti i dosljednijom primjenom strateških smjernica, kao i međusobnom komunikacijom i konsultacijama s</w:t>
      </w:r>
      <w:r>
        <w:rPr>
          <w:rFonts w:ascii="Times New Roman" w:hAnsi="Times New Roman" w:cs="Times New Roman"/>
          <w:sz w:val="24"/>
          <w:szCs w:val="24"/>
          <w:lang w:eastAsia="zh-TW" w:bidi="as-IN"/>
        </w:rPr>
        <w:t>a</w:t>
      </w:r>
      <w:r w:rsidR="7C1D1F8F" w:rsidRPr="00C77FF0">
        <w:rPr>
          <w:rFonts w:ascii="Times New Roman" w:hAnsi="Times New Roman" w:cs="Times New Roman"/>
          <w:sz w:val="24"/>
          <w:szCs w:val="24"/>
          <w:lang w:eastAsia="zh-TW" w:bidi="as-IN"/>
        </w:rPr>
        <w:t xml:space="preserve"> partnerima.</w:t>
      </w:r>
    </w:p>
    <w:p w14:paraId="18A4C323" w14:textId="77777777" w:rsidR="00230F08" w:rsidRDefault="00230F08" w:rsidP="003A0A4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br w:type="page"/>
      </w:r>
    </w:p>
    <w:p w14:paraId="5527CDDB" w14:textId="3B4CC4FB" w:rsidR="00224E5A" w:rsidRPr="00C77FF0" w:rsidRDefault="0000583A" w:rsidP="002A5A86">
      <w:pPr>
        <w:spacing w:after="120" w:line="240" w:lineRule="auto"/>
        <w:jc w:val="both"/>
        <w:rPr>
          <w:rFonts w:cs="Arial"/>
          <w:sz w:val="24"/>
          <w:szCs w:val="24"/>
          <w:lang w:val="hr-HR"/>
        </w:rPr>
      </w:pPr>
      <w:r w:rsidRPr="002A5A86">
        <w:rPr>
          <w:rFonts w:ascii="Times New Roman" w:hAnsi="Times New Roman" w:cs="Times New Roman"/>
          <w:i/>
          <w:sz w:val="24"/>
          <w:szCs w:val="24"/>
          <w:lang w:val="hr-HR"/>
        </w:rPr>
        <w:lastRenderedPageBreak/>
        <w:t>Učinkovitost</w:t>
      </w:r>
      <w:r w:rsidR="002A5A86">
        <w:rPr>
          <w:rFonts w:ascii="Times New Roman" w:hAnsi="Times New Roman" w:cs="Times New Roman"/>
          <w:sz w:val="24"/>
          <w:szCs w:val="24"/>
          <w:lang w:val="hr-HR"/>
        </w:rPr>
        <w:t xml:space="preserve"> - </w:t>
      </w:r>
      <w:r w:rsidR="7C1D1F8F" w:rsidRPr="00C77FF0">
        <w:rPr>
          <w:rFonts w:ascii="Times New Roman" w:hAnsi="Times New Roman"/>
          <w:sz w:val="24"/>
          <w:szCs w:val="24"/>
          <w:lang w:val="hr-HR"/>
        </w:rPr>
        <w:t>Posmatrajući ostvarenje pos</w:t>
      </w:r>
      <w:r w:rsidR="003A0A4B">
        <w:rPr>
          <w:rFonts w:ascii="Times New Roman" w:hAnsi="Times New Roman"/>
          <w:sz w:val="24"/>
          <w:szCs w:val="24"/>
          <w:lang w:val="hr-HR"/>
        </w:rPr>
        <w:t>ebnih ciljeva u visini preko 75%</w:t>
      </w:r>
      <w:r w:rsidR="7C1D1F8F" w:rsidRPr="00C77FF0">
        <w:rPr>
          <w:rFonts w:ascii="Times New Roman" w:hAnsi="Times New Roman"/>
          <w:sz w:val="24"/>
          <w:szCs w:val="24"/>
          <w:lang w:val="hr-HR"/>
        </w:rPr>
        <w:t xml:space="preserve"> očito je kako se radi o ograni</w:t>
      </w:r>
      <w:r w:rsidR="003A0A4B">
        <w:rPr>
          <w:rFonts w:ascii="Times New Roman" w:hAnsi="Times New Roman"/>
          <w:sz w:val="24"/>
          <w:szCs w:val="24"/>
          <w:lang w:val="hr-HR"/>
        </w:rPr>
        <w:t>čenom napretku koji je prouzrokova</w:t>
      </w:r>
      <w:r w:rsidR="7C1D1F8F" w:rsidRPr="00C77FF0">
        <w:rPr>
          <w:rFonts w:ascii="Times New Roman" w:hAnsi="Times New Roman"/>
          <w:sz w:val="24"/>
          <w:szCs w:val="24"/>
          <w:lang w:val="hr-HR"/>
        </w:rPr>
        <w:t xml:space="preserve">n ostvarenjem ključnih rizika proceduralnih poteškoća, te slabe komunikacije, saradnje i koordinacije sa drugim institucijama. Smatramo da bi ovaj postotak bio znatno manji da se funkcija upravljanja nije uspostavila i u dobrom dijelu izgradila u </w:t>
      </w:r>
      <w:r>
        <w:rPr>
          <w:rFonts w:ascii="Times New Roman" w:hAnsi="Times New Roman"/>
          <w:sz w:val="24"/>
          <w:szCs w:val="24"/>
          <w:lang w:val="hr-HR"/>
        </w:rPr>
        <w:t>MP BiH</w:t>
      </w:r>
      <w:r w:rsidR="7C1D1F8F" w:rsidRPr="00C77FF0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da</w:t>
      </w:r>
      <w:r w:rsidR="7C1D1F8F" w:rsidRPr="00C77FF0">
        <w:rPr>
          <w:rFonts w:ascii="Times New Roman" w:hAnsi="Times New Roman"/>
          <w:sz w:val="24"/>
          <w:szCs w:val="24"/>
          <w:lang w:val="hr-HR"/>
        </w:rPr>
        <w:t xml:space="preserve"> bi stepen ostvarenja bio manji, a razlog tomu je što je MP BiH prepoznao trenutak reforme javne uprave i prvi uveo jedinicu za strateško planiranje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="7C1D1F8F" w:rsidRPr="00C77FF0">
        <w:rPr>
          <w:rFonts w:ascii="Times New Roman" w:hAnsi="Times New Roman"/>
          <w:sz w:val="24"/>
          <w:szCs w:val="24"/>
          <w:lang w:val="hr-HR"/>
        </w:rPr>
        <w:t xml:space="preserve"> koja dobrim dijelom doprinosi da se na sistemski način planira i prati rad u </w:t>
      </w:r>
      <w:r>
        <w:rPr>
          <w:rFonts w:ascii="Times New Roman" w:hAnsi="Times New Roman"/>
          <w:sz w:val="24"/>
          <w:szCs w:val="24"/>
          <w:lang w:val="hr-HR"/>
        </w:rPr>
        <w:t>MP BiH</w:t>
      </w:r>
      <w:r w:rsidR="7C1D1F8F" w:rsidRPr="00C77FF0">
        <w:rPr>
          <w:rFonts w:ascii="Times New Roman" w:hAnsi="Times New Roman"/>
          <w:sz w:val="24"/>
          <w:szCs w:val="24"/>
          <w:lang w:val="hr-HR"/>
        </w:rPr>
        <w:t>. Isto tako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="7C1D1F8F" w:rsidRPr="00C77FF0">
        <w:rPr>
          <w:rFonts w:ascii="Times New Roman" w:hAnsi="Times New Roman"/>
          <w:sz w:val="24"/>
          <w:szCs w:val="24"/>
          <w:lang w:val="hr-HR"/>
        </w:rPr>
        <w:t xml:space="preserve"> kao i kod kriterija relevantnosti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="7C1D1F8F" w:rsidRPr="00C77FF0">
        <w:rPr>
          <w:rFonts w:ascii="Times New Roman" w:hAnsi="Times New Roman"/>
          <w:sz w:val="24"/>
          <w:szCs w:val="24"/>
          <w:lang w:val="hr-HR"/>
        </w:rPr>
        <w:t xml:space="preserve"> smatramo da kapaciteti </w:t>
      </w:r>
      <w:r>
        <w:rPr>
          <w:rFonts w:ascii="Times New Roman" w:hAnsi="Times New Roman"/>
          <w:sz w:val="24"/>
          <w:szCs w:val="24"/>
          <w:lang w:val="hr-HR"/>
        </w:rPr>
        <w:t>MP BiH</w:t>
      </w:r>
      <w:r w:rsidR="7C1D1F8F" w:rsidRPr="00C77FF0">
        <w:rPr>
          <w:rFonts w:ascii="Times New Roman" w:hAnsi="Times New Roman"/>
          <w:sz w:val="24"/>
          <w:szCs w:val="24"/>
          <w:lang w:val="hr-HR"/>
        </w:rPr>
        <w:t xml:space="preserve"> predstavljaju ključ za povećanje stepena </w:t>
      </w:r>
      <w:r>
        <w:rPr>
          <w:rFonts w:ascii="Times New Roman" w:hAnsi="Times New Roman"/>
          <w:sz w:val="24"/>
          <w:szCs w:val="24"/>
          <w:lang w:val="hr-HR"/>
        </w:rPr>
        <w:t>učinkovitosti</w:t>
      </w:r>
      <w:r w:rsidR="7C1D1F8F" w:rsidRPr="00C77FF0">
        <w:rPr>
          <w:rFonts w:ascii="Times New Roman" w:hAnsi="Times New Roman"/>
          <w:sz w:val="24"/>
          <w:szCs w:val="24"/>
          <w:lang w:val="hr-HR"/>
        </w:rPr>
        <w:t xml:space="preserve">, ali i potreba za većim jedinstvom i timskim radom rukovodstva </w:t>
      </w:r>
      <w:r>
        <w:rPr>
          <w:rFonts w:ascii="Times New Roman" w:hAnsi="Times New Roman"/>
          <w:sz w:val="24"/>
          <w:szCs w:val="24"/>
          <w:lang w:val="hr-HR"/>
        </w:rPr>
        <w:t>MP BiH</w:t>
      </w:r>
      <w:r w:rsidR="7C1D1F8F" w:rsidRPr="00C77FF0">
        <w:rPr>
          <w:rFonts w:ascii="Times New Roman" w:hAnsi="Times New Roman"/>
          <w:sz w:val="24"/>
          <w:szCs w:val="24"/>
          <w:lang w:val="hr-HR"/>
        </w:rPr>
        <w:t xml:space="preserve"> na upravljanju rezultatima radom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="7C1D1F8F" w:rsidRPr="00C77FF0">
        <w:rPr>
          <w:rFonts w:ascii="Times New Roman" w:hAnsi="Times New Roman"/>
          <w:sz w:val="24"/>
          <w:szCs w:val="24"/>
          <w:lang w:val="hr-HR"/>
        </w:rPr>
        <w:t xml:space="preserve"> kako bi se odgovorilo na dinamičku prirodu poslova u zadanom okruženju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="7C1D1F8F" w:rsidRPr="00C77FF0">
        <w:rPr>
          <w:rFonts w:ascii="Times New Roman" w:hAnsi="Times New Roman"/>
          <w:sz w:val="24"/>
          <w:szCs w:val="24"/>
          <w:lang w:val="hr-HR"/>
        </w:rPr>
        <w:t xml:space="preserve"> kroz sastanke koordinacije, planiranja i praćenja rezultata rada. Uzimajući u obzir kako je zadnja analiza funkcionalnosti javne uprave urađena još 2003. </w:t>
      </w:r>
      <w:r>
        <w:rPr>
          <w:rFonts w:ascii="Times New Roman" w:hAnsi="Times New Roman"/>
          <w:sz w:val="24"/>
          <w:szCs w:val="24"/>
          <w:lang w:val="hr-HR"/>
        </w:rPr>
        <w:t>g</w:t>
      </w:r>
      <w:r w:rsidR="7C1D1F8F" w:rsidRPr="00C77FF0">
        <w:rPr>
          <w:rFonts w:ascii="Times New Roman" w:hAnsi="Times New Roman"/>
          <w:sz w:val="24"/>
          <w:szCs w:val="24"/>
          <w:lang w:val="hr-HR"/>
        </w:rPr>
        <w:t>odine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="7C1D1F8F" w:rsidRPr="00C77FF0">
        <w:rPr>
          <w:rFonts w:ascii="Times New Roman" w:hAnsi="Times New Roman"/>
          <w:sz w:val="24"/>
          <w:szCs w:val="24"/>
          <w:lang w:val="hr-HR"/>
        </w:rPr>
        <w:t xml:space="preserve"> MP BiH za dodatno povećanje stepena </w:t>
      </w:r>
      <w:r>
        <w:rPr>
          <w:rFonts w:ascii="Times New Roman" w:hAnsi="Times New Roman"/>
          <w:sz w:val="24"/>
          <w:szCs w:val="24"/>
          <w:lang w:val="hr-HR"/>
        </w:rPr>
        <w:t>učinkovitosti</w:t>
      </w:r>
      <w:r w:rsidR="7C1D1F8F" w:rsidRPr="00C77FF0">
        <w:rPr>
          <w:rFonts w:ascii="Times New Roman" w:hAnsi="Times New Roman"/>
          <w:sz w:val="24"/>
          <w:szCs w:val="24"/>
          <w:lang w:val="hr-HR"/>
        </w:rPr>
        <w:t xml:space="preserve"> preporučuje se razmatranje mandata i misije </w:t>
      </w:r>
      <w:r>
        <w:rPr>
          <w:rFonts w:ascii="Times New Roman" w:hAnsi="Times New Roman"/>
          <w:sz w:val="24"/>
          <w:szCs w:val="24"/>
          <w:lang w:val="hr-HR"/>
        </w:rPr>
        <w:t>MP BiH,</w:t>
      </w:r>
      <w:r w:rsidR="7C1D1F8F" w:rsidRPr="00C77FF0">
        <w:rPr>
          <w:rFonts w:ascii="Times New Roman" w:hAnsi="Times New Roman"/>
          <w:sz w:val="24"/>
          <w:szCs w:val="24"/>
          <w:lang w:val="hr-HR"/>
        </w:rPr>
        <w:t xml:space="preserve"> kako bi se mogla odrediti uloga i odgovornost MP BiH u sistemu pravde i uprave, te na taj način djelovati na unapređenje procedura, kao i poboljšanje komunikacije i koordinacije, a posebno saradnje s drugim institucijama s kojim dijeli odgovornost za strateške ciljeve, a time i ostvarenje vlastitih ciljeva.</w:t>
      </w:r>
    </w:p>
    <w:p w14:paraId="4B84F8C4" w14:textId="22567F73" w:rsidR="000E726A" w:rsidRPr="00C77FF0" w:rsidRDefault="00433C9A" w:rsidP="002A5A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86">
        <w:rPr>
          <w:rFonts w:ascii="Times New Roman" w:hAnsi="Times New Roman" w:cs="Times New Roman"/>
          <w:i/>
          <w:sz w:val="24"/>
          <w:szCs w:val="24"/>
        </w:rPr>
        <w:t>Efikasnost</w:t>
      </w:r>
      <w:r w:rsidR="002A5A86">
        <w:rPr>
          <w:rFonts w:ascii="Times New Roman" w:hAnsi="Times New Roman" w:cs="Times New Roman"/>
          <w:sz w:val="24"/>
          <w:szCs w:val="24"/>
        </w:rPr>
        <w:t xml:space="preserve"> - </w:t>
      </w:r>
      <w:r w:rsidR="7C1D1F8F" w:rsidRPr="00C77FF0">
        <w:rPr>
          <w:rFonts w:ascii="Times New Roman" w:hAnsi="Times New Roman" w:cs="Times New Roman"/>
          <w:sz w:val="24"/>
          <w:szCs w:val="24"/>
        </w:rPr>
        <w:t>bi trebala da pokaže odnos uloženog spram postignutih rezultata i ostvarenja ciljeva. U odgovorima na pitanja o efikasnosti navedeno je kako je taj zadatak otežan s obzirom na to da u procesu planiranja funkcija upravljanja rizicima je na početku i da alternativni načini provođenja se ne izrađuju. Gledano iz perspektive provođenja mandata i planskih akt</w:t>
      </w:r>
      <w:r w:rsidR="0000583A">
        <w:rPr>
          <w:rFonts w:ascii="Times New Roman" w:hAnsi="Times New Roman" w:cs="Times New Roman"/>
          <w:sz w:val="24"/>
          <w:szCs w:val="24"/>
        </w:rPr>
        <w:t>ivnosti iste imaju značajan uti</w:t>
      </w:r>
      <w:r w:rsidR="7C1D1F8F" w:rsidRPr="00C77FF0">
        <w:rPr>
          <w:rFonts w:ascii="Times New Roman" w:hAnsi="Times New Roman" w:cs="Times New Roman"/>
          <w:sz w:val="24"/>
          <w:szCs w:val="24"/>
        </w:rPr>
        <w:t>caj na ciljane grupe</w:t>
      </w:r>
      <w:r w:rsidR="0000583A">
        <w:rPr>
          <w:rFonts w:ascii="Times New Roman" w:hAnsi="Times New Roman" w:cs="Times New Roman"/>
          <w:sz w:val="24"/>
          <w:szCs w:val="24"/>
        </w:rPr>
        <w:t>,</w:t>
      </w:r>
      <w:r w:rsidR="7C1D1F8F" w:rsidRPr="00C77FF0">
        <w:rPr>
          <w:rFonts w:ascii="Times New Roman" w:hAnsi="Times New Roman" w:cs="Times New Roman"/>
          <w:sz w:val="24"/>
          <w:szCs w:val="24"/>
        </w:rPr>
        <w:t xml:space="preserve"> mjereno izvještajima o provođenju (npr. registar zaloga, registar udruženja i fondacija, pravosudni i stručni upravni ispiti), ali uzimajući slabosti procesa planiranja koje se tiču identifikacije, formulacije i provođenja ciljeva i za njih pripadajućih projekata provođenja teško je utvrditi početak i kraj aktivnosti, a time i proje</w:t>
      </w:r>
      <w:r w:rsidR="0000583A">
        <w:rPr>
          <w:rFonts w:ascii="Times New Roman" w:hAnsi="Times New Roman" w:cs="Times New Roman"/>
          <w:sz w:val="24"/>
          <w:szCs w:val="24"/>
        </w:rPr>
        <w:t>kata. Shodno tome otežano je u</w:t>
      </w:r>
      <w:r w:rsidR="7C1D1F8F" w:rsidRPr="00C77FF0">
        <w:rPr>
          <w:rFonts w:ascii="Times New Roman" w:hAnsi="Times New Roman" w:cs="Times New Roman"/>
          <w:sz w:val="24"/>
          <w:szCs w:val="24"/>
        </w:rPr>
        <w:t>tvrditi i iznos sredstava koji je potreban za provođenje, te time dati ocjenu efikasnosti. U skladu s tim se preporučuje da se nastoji planirati u srednjoročnom okviru pri tome preciznije ograničavati vrijeme trajanja projeka</w:t>
      </w:r>
      <w:r w:rsidR="0000583A">
        <w:rPr>
          <w:rFonts w:ascii="Times New Roman" w:hAnsi="Times New Roman" w:cs="Times New Roman"/>
          <w:sz w:val="24"/>
          <w:szCs w:val="24"/>
        </w:rPr>
        <w:t xml:space="preserve">ta na određeni period </w:t>
      </w:r>
      <w:r w:rsidR="7C1D1F8F" w:rsidRPr="00C77FF0">
        <w:rPr>
          <w:rFonts w:ascii="Times New Roman" w:hAnsi="Times New Roman" w:cs="Times New Roman"/>
          <w:sz w:val="24"/>
          <w:szCs w:val="24"/>
        </w:rPr>
        <w:t xml:space="preserve">i usmjeravati se na razvoj. Preporuka je da se u daljem procesu planiranja pokuša optimizirati obim projekata i </w:t>
      </w:r>
      <w:r w:rsidR="0000583A">
        <w:rPr>
          <w:rFonts w:ascii="Times New Roman" w:hAnsi="Times New Roman" w:cs="Times New Roman"/>
          <w:sz w:val="24"/>
          <w:szCs w:val="24"/>
        </w:rPr>
        <w:t>pažljivije sagledati</w:t>
      </w:r>
      <w:r w:rsidR="7C1D1F8F" w:rsidRPr="00C77FF0">
        <w:rPr>
          <w:rFonts w:ascii="Times New Roman" w:hAnsi="Times New Roman" w:cs="Times New Roman"/>
          <w:sz w:val="24"/>
          <w:szCs w:val="24"/>
        </w:rPr>
        <w:t xml:space="preserve"> mogućnosti finansijske podrške iz drugih izvora. Evaluacija ukazuje na to da se u većini oslanja na vlastita sredstva koja uključuju i kredit za projekat „zatvora“. Pored toga je neophodno jačanje kapaciteta za pripremu, provođenje i praćenje provođenja projektnih prijedloga, koji bi svojim specifičnim znanjima bili u mogućnosti da uspješnije apliciraju za projektne vanjskih finansijera. Metodološki govoreći procesi strateškog planiranja i budžetske pripreme su još uvijek razdvojeni i neujednačeni. Evaluacijom je utvrđeno kako su isti djelimično približeni jedno drugom</w:t>
      </w:r>
      <w:r w:rsidR="0000583A">
        <w:rPr>
          <w:rFonts w:ascii="Times New Roman" w:hAnsi="Times New Roman" w:cs="Times New Roman"/>
          <w:sz w:val="24"/>
          <w:szCs w:val="24"/>
        </w:rPr>
        <w:t>,</w:t>
      </w:r>
      <w:r w:rsidR="7C1D1F8F" w:rsidRPr="00C77FF0">
        <w:rPr>
          <w:rFonts w:ascii="Times New Roman" w:hAnsi="Times New Roman" w:cs="Times New Roman"/>
          <w:sz w:val="24"/>
          <w:szCs w:val="24"/>
        </w:rPr>
        <w:t xml:space="preserve"> kroz izjednačavanje programa u planskom dokumentu i dokumentu okvira budžeta.</w:t>
      </w:r>
      <w:r w:rsidR="0000583A">
        <w:rPr>
          <w:rFonts w:ascii="Times New Roman" w:hAnsi="Times New Roman" w:cs="Times New Roman"/>
          <w:sz w:val="24"/>
          <w:szCs w:val="24"/>
        </w:rPr>
        <w:t xml:space="preserve"> U daljem procesu se preporučuje</w:t>
      </w:r>
      <w:r w:rsidR="7C1D1F8F" w:rsidRPr="00C77FF0">
        <w:rPr>
          <w:rFonts w:ascii="Times New Roman" w:hAnsi="Times New Roman" w:cs="Times New Roman"/>
          <w:sz w:val="24"/>
          <w:szCs w:val="24"/>
        </w:rPr>
        <w:t xml:space="preserve"> intenziviranje aktivnosti na približavanju ova dva procesa, kao i omogućavanje planerima da vrše projiciranje planskih a</w:t>
      </w:r>
      <w:r w:rsidR="0000583A">
        <w:rPr>
          <w:rFonts w:ascii="Times New Roman" w:hAnsi="Times New Roman" w:cs="Times New Roman"/>
          <w:sz w:val="24"/>
          <w:szCs w:val="24"/>
        </w:rPr>
        <w:t>ktivnosti kroz skup standardizov</w:t>
      </w:r>
      <w:r w:rsidR="7C1D1F8F" w:rsidRPr="00C77FF0">
        <w:rPr>
          <w:rFonts w:ascii="Times New Roman" w:hAnsi="Times New Roman" w:cs="Times New Roman"/>
          <w:sz w:val="24"/>
          <w:szCs w:val="24"/>
        </w:rPr>
        <w:t>anih kriterija izračuna koštanja provođenja istih.</w:t>
      </w:r>
    </w:p>
    <w:p w14:paraId="1765B11E" w14:textId="77777777" w:rsidR="00230F08" w:rsidRDefault="00230F08" w:rsidP="003A0A4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F9A4880" w14:textId="7B422095" w:rsidR="000E3DDB" w:rsidRPr="00C77FF0" w:rsidRDefault="00684688" w:rsidP="003A0A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86">
        <w:rPr>
          <w:rFonts w:ascii="Times New Roman" w:hAnsi="Times New Roman" w:cs="Times New Roman"/>
          <w:i/>
          <w:sz w:val="24"/>
          <w:szCs w:val="24"/>
        </w:rPr>
        <w:lastRenderedPageBreak/>
        <w:t>Uticaj</w:t>
      </w:r>
      <w:r w:rsidR="002A5A86" w:rsidRPr="002A5A86">
        <w:rPr>
          <w:rFonts w:ascii="Times New Roman" w:hAnsi="Times New Roman" w:cs="Times New Roman"/>
          <w:sz w:val="24"/>
          <w:szCs w:val="24"/>
        </w:rPr>
        <w:t xml:space="preserve"> - </w:t>
      </w:r>
      <w:r w:rsidR="0000583A">
        <w:rPr>
          <w:rFonts w:ascii="Times New Roman" w:hAnsi="Times New Roman" w:cs="Times New Roman"/>
          <w:sz w:val="24"/>
          <w:szCs w:val="24"/>
        </w:rPr>
        <w:t>U p</w:t>
      </w:r>
      <w:r w:rsidR="00A33659" w:rsidRPr="00C77FF0">
        <w:rPr>
          <w:rFonts w:ascii="Times New Roman" w:hAnsi="Times New Roman" w:cs="Times New Roman"/>
          <w:sz w:val="24"/>
          <w:szCs w:val="24"/>
        </w:rPr>
        <w:t>o</w:t>
      </w:r>
      <w:r w:rsidR="0000583A">
        <w:rPr>
          <w:rFonts w:ascii="Times New Roman" w:hAnsi="Times New Roman" w:cs="Times New Roman"/>
          <w:sz w:val="24"/>
          <w:szCs w:val="24"/>
        </w:rPr>
        <w:t>s</w:t>
      </w:r>
      <w:r w:rsidR="00A33659" w:rsidRPr="00C77FF0">
        <w:rPr>
          <w:rFonts w:ascii="Times New Roman" w:hAnsi="Times New Roman" w:cs="Times New Roman"/>
          <w:sz w:val="24"/>
          <w:szCs w:val="24"/>
        </w:rPr>
        <w:t>matranom periodu evaluacije uticaj se očituje prvenstveno u osnaženim kapacitetima za planiranje i upravljanje</w:t>
      </w:r>
      <w:r w:rsidR="0000583A">
        <w:rPr>
          <w:rFonts w:ascii="Times New Roman" w:hAnsi="Times New Roman" w:cs="Times New Roman"/>
          <w:sz w:val="24"/>
          <w:szCs w:val="24"/>
        </w:rPr>
        <w:t>,</w:t>
      </w:r>
      <w:r w:rsidR="00A33659" w:rsidRPr="00C77FF0">
        <w:rPr>
          <w:rFonts w:ascii="Times New Roman" w:hAnsi="Times New Roman" w:cs="Times New Roman"/>
          <w:sz w:val="24"/>
          <w:szCs w:val="24"/>
        </w:rPr>
        <w:t xml:space="preserve"> što za rezultat ima vođenje d</w:t>
      </w:r>
      <w:r w:rsidR="0000583A">
        <w:rPr>
          <w:rFonts w:ascii="Times New Roman" w:hAnsi="Times New Roman" w:cs="Times New Roman"/>
          <w:sz w:val="24"/>
          <w:szCs w:val="24"/>
        </w:rPr>
        <w:t>ijaloga i djelimično normativno-</w:t>
      </w:r>
      <w:r w:rsidR="00A33659" w:rsidRPr="00C77FF0">
        <w:rPr>
          <w:rFonts w:ascii="Times New Roman" w:hAnsi="Times New Roman" w:cs="Times New Roman"/>
          <w:sz w:val="24"/>
          <w:szCs w:val="24"/>
        </w:rPr>
        <w:t xml:space="preserve">pravno rješavanje određenih oblasti politika pravde i uprave. </w:t>
      </w:r>
      <w:r w:rsidR="00C27650" w:rsidRPr="00C77FF0">
        <w:rPr>
          <w:rFonts w:ascii="Times New Roman" w:hAnsi="Times New Roman" w:cs="Times New Roman"/>
          <w:sz w:val="24"/>
          <w:szCs w:val="24"/>
        </w:rPr>
        <w:t>Za period evaluacije nisu rađene analize uticaja politika, kao i strateških dokumenata koje bi poslužile evaluaciji za vlastitu ocjenu uticaja provođenja planskog dokumenta. Jedinu poveznicu koju može odrediti je uticaj provođenja aktivnosti na partnerske institucije, ali u tom slučaju bi bilo teško razdvojiti uticaj od vlastitog doprinosa koji nije utvrđen na početku planiranja. Preporučuje se MP BiH da svoje resurse u nared</w:t>
      </w:r>
      <w:r w:rsidR="0000583A">
        <w:rPr>
          <w:rFonts w:ascii="Times New Roman" w:hAnsi="Times New Roman" w:cs="Times New Roman"/>
          <w:sz w:val="24"/>
          <w:szCs w:val="24"/>
        </w:rPr>
        <w:t>nim ciklusima planiranja usmjeri na utvrđivanje</w:t>
      </w:r>
      <w:r w:rsidR="00C27650" w:rsidRPr="00C77FF0">
        <w:rPr>
          <w:rFonts w:ascii="Times New Roman" w:hAnsi="Times New Roman" w:cs="Times New Roman"/>
          <w:sz w:val="24"/>
          <w:szCs w:val="24"/>
        </w:rPr>
        <w:t xml:space="preserve"> doprinosa na provođenju srednjoročnih i dugoročnih ciljeva, t</w:t>
      </w:r>
      <w:r w:rsidR="0000583A">
        <w:rPr>
          <w:rFonts w:ascii="Times New Roman" w:hAnsi="Times New Roman" w:cs="Times New Roman"/>
          <w:sz w:val="24"/>
          <w:szCs w:val="24"/>
        </w:rPr>
        <w:t>e na taj način uspostavi jasniju</w:t>
      </w:r>
      <w:r w:rsidR="00C27650" w:rsidRPr="00C77FF0">
        <w:rPr>
          <w:rFonts w:ascii="Times New Roman" w:hAnsi="Times New Roman" w:cs="Times New Roman"/>
          <w:sz w:val="24"/>
          <w:szCs w:val="24"/>
        </w:rPr>
        <w:t xml:space="preserve"> veza između ciljeva, programa i projekata. S obzirom da je ovo pitanje i drugih kriterija to i ovdje va</w:t>
      </w:r>
      <w:r w:rsidR="00FA5806" w:rsidRPr="00C77FF0">
        <w:rPr>
          <w:rFonts w:ascii="Times New Roman" w:hAnsi="Times New Roman" w:cs="Times New Roman"/>
          <w:sz w:val="24"/>
          <w:szCs w:val="24"/>
        </w:rPr>
        <w:t>ž</w:t>
      </w:r>
      <w:r w:rsidR="00C27650" w:rsidRPr="00C77FF0">
        <w:rPr>
          <w:rFonts w:ascii="Times New Roman" w:hAnsi="Times New Roman" w:cs="Times New Roman"/>
          <w:sz w:val="24"/>
          <w:szCs w:val="24"/>
        </w:rPr>
        <w:t xml:space="preserve">i preporuka da </w:t>
      </w:r>
      <w:r w:rsidR="00FA5806" w:rsidRPr="00C77FF0">
        <w:rPr>
          <w:rFonts w:ascii="Times New Roman" w:hAnsi="Times New Roman" w:cs="Times New Roman"/>
          <w:sz w:val="24"/>
          <w:szCs w:val="24"/>
        </w:rPr>
        <w:t xml:space="preserve">se </w:t>
      </w:r>
      <w:r w:rsidR="00C27650" w:rsidRPr="00C77FF0">
        <w:rPr>
          <w:rFonts w:ascii="Times New Roman" w:hAnsi="Times New Roman" w:cs="Times New Roman"/>
          <w:sz w:val="24"/>
          <w:szCs w:val="24"/>
        </w:rPr>
        <w:t xml:space="preserve">nastavi </w:t>
      </w:r>
      <w:r w:rsidR="00FA5806" w:rsidRPr="00C77FF0">
        <w:rPr>
          <w:rFonts w:ascii="Times New Roman" w:hAnsi="Times New Roman" w:cs="Times New Roman"/>
          <w:sz w:val="24"/>
          <w:szCs w:val="24"/>
        </w:rPr>
        <w:t>s</w:t>
      </w:r>
      <w:r w:rsidR="0000583A">
        <w:rPr>
          <w:rFonts w:ascii="Times New Roman" w:hAnsi="Times New Roman" w:cs="Times New Roman"/>
          <w:sz w:val="24"/>
          <w:szCs w:val="24"/>
        </w:rPr>
        <w:t>a</w:t>
      </w:r>
      <w:r w:rsidR="00FA5806" w:rsidRPr="00C77FF0">
        <w:rPr>
          <w:rFonts w:ascii="Times New Roman" w:hAnsi="Times New Roman" w:cs="Times New Roman"/>
          <w:sz w:val="24"/>
          <w:szCs w:val="24"/>
        </w:rPr>
        <w:t xml:space="preserve"> izgradnjom</w:t>
      </w:r>
      <w:r w:rsidR="00C27650" w:rsidRPr="00C77FF0">
        <w:rPr>
          <w:rFonts w:ascii="Times New Roman" w:hAnsi="Times New Roman" w:cs="Times New Roman"/>
          <w:sz w:val="24"/>
          <w:szCs w:val="24"/>
        </w:rPr>
        <w:t xml:space="preserve"> kapaciteta u oblasti </w:t>
      </w:r>
      <w:r w:rsidR="00FA5806" w:rsidRPr="00C77FF0">
        <w:rPr>
          <w:rFonts w:ascii="Times New Roman" w:hAnsi="Times New Roman" w:cs="Times New Roman"/>
          <w:sz w:val="24"/>
          <w:szCs w:val="24"/>
        </w:rPr>
        <w:t>planiranja s usmjerenjem i na utvrđivanje uticaja</w:t>
      </w:r>
      <w:r w:rsidR="0000583A">
        <w:rPr>
          <w:rFonts w:ascii="Times New Roman" w:hAnsi="Times New Roman" w:cs="Times New Roman"/>
          <w:sz w:val="24"/>
          <w:szCs w:val="24"/>
        </w:rPr>
        <w:t>,</w:t>
      </w:r>
      <w:r w:rsidR="00FA5806" w:rsidRPr="00C77FF0">
        <w:rPr>
          <w:rFonts w:ascii="Times New Roman" w:hAnsi="Times New Roman" w:cs="Times New Roman"/>
          <w:sz w:val="24"/>
          <w:szCs w:val="24"/>
        </w:rPr>
        <w:t xml:space="preserve"> </w:t>
      </w:r>
      <w:r w:rsidR="00C27650" w:rsidRPr="00C77FF0">
        <w:rPr>
          <w:rFonts w:ascii="Times New Roman" w:hAnsi="Times New Roman" w:cs="Times New Roman"/>
          <w:sz w:val="24"/>
          <w:szCs w:val="24"/>
        </w:rPr>
        <w:t>kako bi se povećao stepen vlastitog razumijevanja procesa i mogao se jasnije odrediti uticaj planskog djelovanja na društvo u cjelini.</w:t>
      </w:r>
      <w:r w:rsidR="00FA5806" w:rsidRPr="00C77FF0">
        <w:rPr>
          <w:rFonts w:ascii="Times New Roman" w:hAnsi="Times New Roman" w:cs="Times New Roman"/>
          <w:sz w:val="24"/>
          <w:szCs w:val="24"/>
        </w:rPr>
        <w:t xml:space="preserve"> Jedan od mogućih načina rješavanja je i prepoznavanje, te uvođenje </w:t>
      </w:r>
      <w:r w:rsidR="0000583A">
        <w:rPr>
          <w:rFonts w:ascii="Times New Roman" w:hAnsi="Times New Roman" w:cs="Times New Roman"/>
          <w:sz w:val="24"/>
          <w:szCs w:val="24"/>
        </w:rPr>
        <w:t>pokazatelja</w:t>
      </w:r>
      <w:r w:rsidR="00FA5806" w:rsidRPr="00C77FF0">
        <w:rPr>
          <w:rFonts w:ascii="Times New Roman" w:hAnsi="Times New Roman" w:cs="Times New Roman"/>
          <w:sz w:val="24"/>
          <w:szCs w:val="24"/>
        </w:rPr>
        <w:t xml:space="preserve"> koji bi bili dogovoreni s</w:t>
      </w:r>
      <w:r w:rsidR="0000583A">
        <w:rPr>
          <w:rFonts w:ascii="Times New Roman" w:hAnsi="Times New Roman" w:cs="Times New Roman"/>
          <w:sz w:val="24"/>
          <w:szCs w:val="24"/>
        </w:rPr>
        <w:t>a</w:t>
      </w:r>
      <w:r w:rsidR="00FA5806" w:rsidRPr="00C77FF0">
        <w:rPr>
          <w:rFonts w:ascii="Times New Roman" w:hAnsi="Times New Roman" w:cs="Times New Roman"/>
          <w:sz w:val="24"/>
          <w:szCs w:val="24"/>
        </w:rPr>
        <w:t xml:space="preserve"> partnerima, a bili bi uvedeni u proces planiranja i praćenja na nivou uticaja srednjoročnih i posebnih ciljeva.</w:t>
      </w:r>
      <w:r w:rsidR="0000583A">
        <w:rPr>
          <w:rFonts w:ascii="Times New Roman" w:hAnsi="Times New Roman" w:cs="Times New Roman"/>
          <w:sz w:val="24"/>
          <w:szCs w:val="24"/>
        </w:rPr>
        <w:t xml:space="preserve"> Kroz ovakav pristup bi se uti</w:t>
      </w:r>
      <w:r w:rsidR="00A33659" w:rsidRPr="00C77FF0">
        <w:rPr>
          <w:rFonts w:ascii="Times New Roman" w:hAnsi="Times New Roman" w:cs="Times New Roman"/>
          <w:sz w:val="24"/>
          <w:szCs w:val="24"/>
        </w:rPr>
        <w:t>caj strateških intervencija detaljnije pratio</w:t>
      </w:r>
      <w:r w:rsidR="00FA5806" w:rsidRPr="00C77FF0">
        <w:rPr>
          <w:rFonts w:ascii="Times New Roman" w:hAnsi="Times New Roman" w:cs="Times New Roman"/>
          <w:sz w:val="24"/>
          <w:szCs w:val="24"/>
        </w:rPr>
        <w:t>,</w:t>
      </w:r>
      <w:r w:rsidR="00A33659" w:rsidRPr="00C77FF0">
        <w:rPr>
          <w:rFonts w:ascii="Times New Roman" w:hAnsi="Times New Roman" w:cs="Times New Roman"/>
          <w:sz w:val="24"/>
          <w:szCs w:val="24"/>
        </w:rPr>
        <w:t xml:space="preserve"> ali bi se postigla i veća informisanost, a posljedično i veća involviranost i zadovoljstvo postignutim rezultatima.</w:t>
      </w:r>
    </w:p>
    <w:p w14:paraId="158E395F" w14:textId="2AEA158C" w:rsidR="007C4FD7" w:rsidRPr="00C77FF0" w:rsidRDefault="000E3DDB" w:rsidP="003A0A4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5A86">
        <w:rPr>
          <w:rFonts w:ascii="Times New Roman" w:hAnsi="Times New Roman" w:cs="Times New Roman"/>
          <w:i/>
          <w:sz w:val="24"/>
          <w:szCs w:val="24"/>
        </w:rPr>
        <w:t>Održivost</w:t>
      </w:r>
      <w:r w:rsidR="002A5A86" w:rsidRPr="002A5A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5A86">
        <w:rPr>
          <w:rFonts w:ascii="Times New Roman" w:hAnsi="Times New Roman" w:cs="Times New Roman"/>
          <w:sz w:val="24"/>
          <w:szCs w:val="24"/>
        </w:rPr>
        <w:t xml:space="preserve">- </w:t>
      </w:r>
      <w:r w:rsidR="7C1D1F8F" w:rsidRPr="00C77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obzirom na to da je održivost jedan od ključnih elemenata uspjeha svakog procesa planiranja</w:t>
      </w:r>
      <w:r w:rsidR="00005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7C1D1F8F" w:rsidRPr="00C77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svaki naredni ciklus planiranja potrebno je da na određeni način odražava kriterije istog u sebi</w:t>
      </w:r>
      <w:r w:rsidR="00005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7C1D1F8F" w:rsidRPr="00C77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tako što će za svaku plansku aktivnost </w:t>
      </w:r>
      <w:r w:rsidR="00005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pažljivije</w:t>
      </w:r>
      <w:r w:rsidR="7C1D1F8F" w:rsidRPr="00C77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razmotriti naprijed </w:t>
      </w:r>
      <w:r w:rsidR="00005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navedene</w:t>
      </w:r>
      <w:r w:rsidR="7C1D1F8F" w:rsidRPr="00C77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rizike i na odgovarajući način ih ugraditi u sam plan</w:t>
      </w:r>
      <w:r w:rsidR="00005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7C1D1F8F" w:rsidRPr="00C77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bilo planiranjem alternativa ili predviđanjem aktivnosti za umanjenje uticaja i vjerovatnoće rizika. Kod uticaja je spomenuto kako </w:t>
      </w:r>
      <w:r w:rsidR="002B0F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definisani</w:t>
      </w:r>
      <w:r w:rsidR="7C1D1F8F" w:rsidRPr="00C77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projekti evaluacionog dokumenta, kao i njegova ažuriranja ukazuju da su projekti, a </w:t>
      </w:r>
      <w:r w:rsidR="00005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7C1D1F8F" w:rsidRPr="00C77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neke aktivnosti kontinuiranog karaktera. Naizgled se čini da se istima željelo ciljati na održivost, ali je ista zapravo odgovor opravdanosti za provođenje svog mandata. Za ostvarenje boljih rezultata i uspjeh upravljanja radom nužno je da se</w:t>
      </w:r>
      <w:r w:rsidR="00005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narednom periodu posveti pažnja</w:t>
      </w:r>
      <w:r w:rsidR="7C1D1F8F" w:rsidRPr="00C77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uzmu u obzir preporuke evaluacije, </w:t>
      </w:r>
      <w:r w:rsidR="00005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 </w:t>
      </w:r>
      <w:r w:rsidR="7C1D1F8F" w:rsidRPr="00C77F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svim kriterijima evaluacije, što će se odraziti na kraju i na samu dugoročn</w:t>
      </w:r>
      <w:r w:rsidR="00005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održivost.</w:t>
      </w:r>
    </w:p>
    <w:p w14:paraId="0CA72009" w14:textId="536F170B" w:rsidR="007C4FD7" w:rsidRPr="00C77FF0" w:rsidRDefault="007C4FD7" w:rsidP="003A0A4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Generalno govoreći proces evaluacije je ukazao na potrebu za sistematskim pristupom u daljem radu MP BiH i provođenju procesa planiranja. 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reporuke 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 u </w:t>
      </w:r>
      <w:r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>kriterij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>ima</w:t>
      </w:r>
      <w:r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evaluacije 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>naglašavaju</w:t>
      </w:r>
      <w:r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važnost ljudskih potencijala 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njihovo osposobljavanje, te je stoga i ključna preporuka da </w:t>
      </w:r>
      <w:r w:rsidR="0000583A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MP BiH </w:t>
      </w:r>
      <w:r w:rsidR="0000583A">
        <w:rPr>
          <w:rFonts w:ascii="Times New Roman" w:eastAsia="Times New Roman" w:hAnsi="Times New Roman" w:cs="Times New Roman"/>
          <w:color w:val="000000"/>
          <w:sz w:val="24"/>
          <w:szCs w:val="24"/>
        </w:rPr>
        <w:t>usmjeri na izgradnju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funkcije upravljanja ljudskim potencijalima i time boljem povezivanju ciljeva </w:t>
      </w:r>
      <w:r w:rsidR="0000583A">
        <w:rPr>
          <w:rFonts w:ascii="Times New Roman" w:eastAsia="Times New Roman" w:hAnsi="Times New Roman" w:cs="Times New Roman"/>
          <w:color w:val="000000"/>
          <w:sz w:val="24"/>
          <w:szCs w:val="24"/>
        </w:rPr>
        <w:t>MP BiH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="0000583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ciljevima pojedinaca, te na taj način stvaranja sinergijskog </w:t>
      </w:r>
      <w:r w:rsidR="0000583A">
        <w:rPr>
          <w:rFonts w:ascii="Times New Roman" w:eastAsia="Times New Roman" w:hAnsi="Times New Roman" w:cs="Times New Roman"/>
          <w:color w:val="000000"/>
          <w:sz w:val="24"/>
          <w:szCs w:val="24"/>
        </w:rPr>
        <w:t>učinka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kojem </w:t>
      </w:r>
      <w:r w:rsidR="0000583A">
        <w:rPr>
          <w:rFonts w:ascii="Times New Roman" w:eastAsia="Times New Roman" w:hAnsi="Times New Roman" w:cs="Times New Roman"/>
          <w:color w:val="000000"/>
          <w:sz w:val="24"/>
          <w:szCs w:val="24"/>
        </w:rPr>
        <w:t>zbir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pojedinačnih uticaja dovode do ostvarenja ciljeva </w:t>
      </w:r>
      <w:r w:rsidR="0000583A">
        <w:rPr>
          <w:rFonts w:ascii="Times New Roman" w:eastAsia="Times New Roman" w:hAnsi="Times New Roman" w:cs="Times New Roman"/>
          <w:color w:val="000000"/>
          <w:sz w:val="24"/>
          <w:szCs w:val="24"/>
        </w:rPr>
        <w:t>MP BiH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 w:rsidR="0000583A">
        <w:rPr>
          <w:rFonts w:ascii="Times New Roman" w:eastAsia="Times New Roman" w:hAnsi="Times New Roman" w:cs="Times New Roman"/>
          <w:color w:val="000000"/>
          <w:sz w:val="24"/>
          <w:szCs w:val="24"/>
        </w:rPr>
        <w:t>učinaka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pogledu ispunjenja </w:t>
      </w:r>
      <w:r w:rsidR="0000583A">
        <w:rPr>
          <w:rFonts w:ascii="Times New Roman" w:eastAsia="Times New Roman" w:hAnsi="Times New Roman" w:cs="Times New Roman"/>
          <w:color w:val="000000"/>
          <w:sz w:val="24"/>
          <w:szCs w:val="24"/>
        </w:rPr>
        <w:t>njegovog</w:t>
      </w:r>
      <w:r w:rsidR="002D76FB"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mandata i misije.</w:t>
      </w:r>
    </w:p>
    <w:p w14:paraId="3C283F8B" w14:textId="77777777" w:rsidR="00E65933" w:rsidRDefault="00E6593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3F3C5A16" w14:textId="5B754015" w:rsidR="00B82817" w:rsidRPr="00C77FF0" w:rsidRDefault="00B82817" w:rsidP="00A3365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U nastavku su izdvojene </w:t>
      </w:r>
      <w:r w:rsid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slijedeće </w:t>
      </w:r>
      <w:r w:rsidRPr="00C77FF0">
        <w:rPr>
          <w:rFonts w:ascii="Times New Roman" w:eastAsia="Times New Roman" w:hAnsi="Times New Roman" w:cs="Times New Roman"/>
          <w:color w:val="000000"/>
          <w:sz w:val="24"/>
          <w:szCs w:val="24"/>
        </w:rPr>
        <w:t>preporuke i zaključci:</w:t>
      </w:r>
    </w:p>
    <w:p w14:paraId="2996B73F" w14:textId="64431E07" w:rsidR="009F5F1F" w:rsidRPr="00230F08" w:rsidRDefault="009F5F1F" w:rsidP="00E65933">
      <w:pPr>
        <w:pStyle w:val="ListParagraph"/>
        <w:numPr>
          <w:ilvl w:val="0"/>
          <w:numId w:val="26"/>
        </w:numPr>
        <w:spacing w:after="10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 MP BiH 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>za period od 2016. do</w:t>
      </w:r>
      <w:r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2018. godine metodološki je izrađen prema propisanim standardima, ali u odnosu na najbolju praksu je vrlo obiman dokument i sa velikim brojem detalja koji su operativnog nivoa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stoga je od ključnog značaja prilikom izrade narednih planskih dokumenata držati se sm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>jernica za strateško planiranje,</w:t>
      </w:r>
    </w:p>
    <w:p w14:paraId="60D187B4" w14:textId="77777777" w:rsidR="009F5F1F" w:rsidRPr="00230F08" w:rsidRDefault="009F5F1F" w:rsidP="00E65933">
      <w:pPr>
        <w:pStyle w:val="ListParagraph"/>
        <w:numPr>
          <w:ilvl w:val="0"/>
          <w:numId w:val="26"/>
        </w:numPr>
        <w:spacing w:after="10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Nužno je povesti računa o dosljednosti i usklađenosti planskih (strateških, srednjoročnih i operativnih) dokumenata i izvještaja međusobno i u odnosu dokumenata institucionalnog nivoa sa nivoom Vijeća ministara BiH; </w:t>
      </w:r>
    </w:p>
    <w:p w14:paraId="7A40820D" w14:textId="17D47654" w:rsidR="009F5F1F" w:rsidRPr="00230F08" w:rsidRDefault="7C1D1F8F" w:rsidP="00E65933">
      <w:pPr>
        <w:pStyle w:val="ListParagraph"/>
        <w:numPr>
          <w:ilvl w:val="0"/>
          <w:numId w:val="26"/>
        </w:numPr>
        <w:spacing w:after="10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Potrebno je unaprijediti komunikaciju i saradnju izme</w:t>
      </w:r>
      <w:r w:rsidRPr="00230F08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đu organizacionih jedinica na planiranju i praćenju provođenja ostvarenja rezultata rada, a kao jedan od načina je 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uspostavljanje</w:t>
      </w:r>
      <w:r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rukovodećeg stručnog tima za rad na upravljanju promjenama koji bi bio okupljen u koordinacionom tijelu sekretara i rukovodećih državnih službenika odgovorn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og ministru pravde BiH,</w:t>
      </w:r>
    </w:p>
    <w:p w14:paraId="2E9AFD21" w14:textId="7132295E" w:rsidR="009F5F1F" w:rsidRPr="00230F08" w:rsidRDefault="7C1D1F8F" w:rsidP="00E65933">
      <w:pPr>
        <w:pStyle w:val="ListParagraph"/>
        <w:numPr>
          <w:ilvl w:val="0"/>
          <w:numId w:val="26"/>
        </w:numPr>
        <w:spacing w:after="10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Učestalost praćenja provođenja srednjoročnog plana je potrebno povećati s godišnjeg na minimalno polugodišnje, 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preporučljivo je da se dostavljanje</w:t>
      </w:r>
      <w:r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podataka vrši na 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tromjesečnoj</w:t>
      </w:r>
      <w:r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osnovi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čime bi se stvorile pretpostavke za rano uočavanje prepreka i prilika na provođenju u službi ranog upozoravanja rukovodstva na iste i donošenje odluke za njihovo otklanjanje, a pri tome 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pokazatelje</w:t>
      </w:r>
      <w:r w:rsidRPr="00230F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određivati i pratiti prema dostupnim podacima</w:t>
      </w:r>
      <w:r w:rsidR="00E65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u skladu sa SMART principima,</w:t>
      </w:r>
    </w:p>
    <w:p w14:paraId="2867B5D5" w14:textId="4F5E08F5" w:rsidR="009F5F1F" w:rsidRPr="00230F08" w:rsidRDefault="009F5F1F" w:rsidP="00E65933">
      <w:pPr>
        <w:pStyle w:val="ListParagraph"/>
        <w:numPr>
          <w:ilvl w:val="0"/>
          <w:numId w:val="26"/>
        </w:numPr>
        <w:spacing w:after="10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bolje upravljanje procesima rada i povećanjem stepena ostvarenja rezultata potrebno je da se organizacione jedinice osposobe za sistematsko planiranje i praćenje provođenja aktivnosti vođenjem vlastitih planova rada i 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>mjesečnih izvještaja,</w:t>
      </w:r>
    </w:p>
    <w:p w14:paraId="23785304" w14:textId="2D311452" w:rsidR="009F5F1F" w:rsidRPr="00230F08" w:rsidRDefault="009F5F1F" w:rsidP="00E65933">
      <w:pPr>
        <w:pStyle w:val="ListParagraph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>S obzirom na kritičnu ulogu procesa planiranja u upravljanju i odgovornosti za rezultate rada preporučuje se organiza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>cionim jedinicama da identifiku</w:t>
      </w:r>
      <w:r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>ju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>, usmjeravaju i profesionalizu</w:t>
      </w:r>
      <w:r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>ju bar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>em jednu osobu kojoj</w:t>
      </w:r>
      <w:r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će se dodijeliti poslovi i zadaci vezani za </w:t>
      </w:r>
      <w:r w:rsidR="00E65933">
        <w:rPr>
          <w:rFonts w:ascii="Times New Roman" w:eastAsia="Times New Roman" w:hAnsi="Times New Roman" w:cs="Times New Roman"/>
          <w:color w:val="000000"/>
          <w:sz w:val="24"/>
          <w:szCs w:val="24"/>
        </w:rPr>
        <w:t>planiranje i praćenje rezultat</w:t>
      </w:r>
      <w:r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>a rada</w:t>
      </w:r>
      <w:r w:rsidR="00B82817" w:rsidRPr="00230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E3172C" w14:textId="77777777" w:rsidR="00E65933" w:rsidRDefault="00E65933">
      <w:pP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br w:type="page"/>
      </w:r>
    </w:p>
    <w:p w14:paraId="76535530" w14:textId="53BF7B1E" w:rsidR="009F5F1F" w:rsidRPr="00230F08" w:rsidRDefault="00230F08" w:rsidP="00230F08">
      <w:pPr>
        <w:spacing w:after="12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lastRenderedPageBreak/>
        <w:t>Kroz dosadašnje cikluse srednjoročnog planiranja, praćenja, izvještavanja i evaluacije u MP BiH su n</w:t>
      </w:r>
      <w:r w:rsidR="009F5F1F" w:rsidRPr="00230F08"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 xml:space="preserve">aučene 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 xml:space="preserve">slijedeće </w:t>
      </w:r>
      <w:r w:rsidR="009F5F1F" w:rsidRPr="00230F08"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>lekcije</w:t>
      </w:r>
      <w:r>
        <w:rPr>
          <w:rFonts w:ascii="Times New Roman" w:eastAsia="PMingLiU" w:hAnsi="Times New Roman" w:cs="Times New Roman"/>
          <w:bCs/>
          <w:sz w:val="24"/>
          <w:szCs w:val="24"/>
          <w:lang w:eastAsia="zh-TW" w:bidi="as-IN"/>
        </w:rPr>
        <w:t>:</w:t>
      </w:r>
    </w:p>
    <w:p w14:paraId="17C12731" w14:textId="16E4CBEF" w:rsidR="002A34A4" w:rsidRPr="00D40B7D" w:rsidRDefault="00B82817" w:rsidP="00230F08">
      <w:pPr>
        <w:pStyle w:val="ListParagraph"/>
        <w:numPr>
          <w:ilvl w:val="0"/>
          <w:numId w:val="27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Pojednostavljenje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Tendencija za uvrštavanjem što većeg broja detalja kako isti ne bi bili izostavljeni i/ili dobili na značaju je bila praksa koja se očitava iz evaluacijskih dokumenata. Predstavnici 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MP BiH</w:t>
      </w:r>
      <w:r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SSPKPEI</w:t>
      </w:r>
      <w:r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partneri na provođenju i podršci</w:t>
      </w:r>
      <w:r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srednjoročno planiranje</w:t>
      </w:r>
      <w:r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 saglasni da 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za potrebe provođenja i praćenja</w:t>
      </w:r>
      <w:r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potrebno</w:t>
      </w:r>
      <w:r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pojednostavljenje srednjoročnog planiranja</w:t>
      </w:r>
      <w:r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ali</w:t>
      </w:r>
      <w:r w:rsidR="002A34A4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potrebno voditi računa o detaljima koji nedostaju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A34A4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poput upravljanja rizicima,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projiciranje resursa i analiza</w:t>
      </w:r>
      <w:r w:rsidR="002A34A4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alternativnih načina provođenja. Pojednostavljenje treba uslijediti od smanjenja ciljeva i njihovih nivoa, kao i smanjenja broja programa i projekata, a što p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odrazumijeva dalji proces grupis</w:t>
      </w:r>
      <w:r w:rsidR="002A34A4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anja sro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dnih aktivnosti u veće cjeline.</w:t>
      </w:r>
    </w:p>
    <w:p w14:paraId="4231245B" w14:textId="787A9260" w:rsidR="00496FCD" w:rsidRPr="00D40B7D" w:rsidRDefault="00B9198A" w:rsidP="00230F08">
      <w:pPr>
        <w:pStyle w:val="ListParagraph"/>
        <w:numPr>
          <w:ilvl w:val="0"/>
          <w:numId w:val="27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Analitički kapaciteti</w:t>
      </w:r>
      <w:r w:rsidR="00230F08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Proces evaluacije ukazuje koliki značaj nose dobro osposobljeni 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državni službenici</w:t>
      </w:r>
      <w:r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upravljanje 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planira</w:t>
      </w:r>
      <w:r w:rsidR="00D350F1">
        <w:rPr>
          <w:rFonts w:ascii="Times New Roman" w:eastAsia="Times New Roman" w:hAnsi="Times New Roman" w:cs="Times New Roman"/>
          <w:color w:val="000000"/>
          <w:sz w:val="24"/>
          <w:szCs w:val="24"/>
        </w:rPr>
        <w:t>njem, praćenjem i izvještavanjem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, te evaluacijom</w:t>
      </w:r>
      <w:r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Budućnost razvoja funkcije planiranja i uspješnosti rada 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je u direktnom</w:t>
      </w:r>
      <w:r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proporcionalnom odnosu sa nivoom ulaganja u ljudske poten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cijale za obavljanje analitičko-</w:t>
      </w:r>
      <w:r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informativnih poslova. Na mnogim mjestima u planiranim projektima bi bili postignuti 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znatno</w:t>
      </w:r>
      <w:r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veći rezultati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obzirom na neuspjeh izrade analiza koje su često bile naslonjene na vanjsku tehničku podršku. Organizaci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jedinice 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MP BiH </w:t>
      </w:r>
      <w:r w:rsidR="00496FCD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su prepoznale znač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aj istih, a već postoje rezervis</w:t>
      </w:r>
      <w:r w:rsidR="00496FCD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ani resursi za izgradnju predmetnih kapaciteta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96FCD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kako iz vlastitih tako i </w:t>
      </w:r>
      <w:r w:rsidR="00E65933" w:rsidRPr="00D40B7D">
        <w:rPr>
          <w:rFonts w:ascii="Times New Roman" w:eastAsia="Times New Roman" w:hAnsi="Times New Roman" w:cs="Times New Roman"/>
          <w:color w:val="000000"/>
          <w:sz w:val="24"/>
          <w:szCs w:val="24"/>
        </w:rPr>
        <w:t>iz donatorskih sredstava.</w:t>
      </w:r>
    </w:p>
    <w:p w14:paraId="00D95C51" w14:textId="0A003B54" w:rsidR="00B36381" w:rsidRPr="00B36381" w:rsidRDefault="00E65933" w:rsidP="00604F8F">
      <w:pPr>
        <w:pStyle w:val="ListParagraph"/>
        <w:numPr>
          <w:ilvl w:val="0"/>
          <w:numId w:val="27"/>
        </w:numPr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63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</w:t>
      </w:r>
      <w:r w:rsidR="7C1D1F8F" w:rsidRPr="00B363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aradnja i partnerstvo</w:t>
      </w:r>
      <w:r w:rsidR="00230F08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Uspjeh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mnogih projektnih ak</w:t>
      </w:r>
      <w:r w:rsidR="00D35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cija zavisio je o saradnji dviju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više organiza</w:t>
      </w:r>
      <w:r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cion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ih jedinica u </w:t>
      </w:r>
      <w:r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MP BiH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 tako i sa partnerskim institucijama kroz interresornu radnu grupu ili u drugom načinu rada. Značaj saradnje označen je i u brojnim analizama procesa planiranja, kao i razvoja politika, kao što je i politika konsultacija i pravnog normiranja. Kao što to Strategija za reformu sektora pravde u BiH naglašava, a tako i Strategija reforme javne uprave za ostvarenje svog mandata zahtijevat će usku saradnju</w:t>
      </w:r>
      <w:r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kako s označenim partnerima</w:t>
      </w:r>
      <w:r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7C1D1F8F" w:rsidRPr="00B36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tako i onim kojih se mjere koje se provode tiču. Iz tog razloga saradnja treba biti princip upravljanja radom u MP BiH.</w:t>
      </w:r>
    </w:p>
    <w:p w14:paraId="2DB74B4C" w14:textId="6BD05B1B" w:rsidR="00B36381" w:rsidRDefault="00B36381" w:rsidP="00B36381">
      <w:pPr>
        <w:pStyle w:val="ListParagraph"/>
        <w:spacing w:before="2400" w:after="120" w:line="240" w:lineRule="auto"/>
        <w:ind w:left="6729" w:firstLine="351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363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 I N I S T A R</w:t>
      </w:r>
    </w:p>
    <w:p w14:paraId="7FD46E76" w14:textId="75916F3E" w:rsidR="00B36381" w:rsidRPr="00B36381" w:rsidRDefault="00B36381" w:rsidP="00B36381">
      <w:pPr>
        <w:pStyle w:val="ListParagraph"/>
        <w:spacing w:before="240" w:after="120" w:line="240" w:lineRule="auto"/>
        <w:ind w:left="357"/>
        <w:contextualSpacing w:val="0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JOSIP GRUBEŠA</w:t>
      </w:r>
    </w:p>
    <w:p w14:paraId="29D6B04F" w14:textId="26348BBA" w:rsidR="009F5F1F" w:rsidRPr="00C77FF0" w:rsidRDefault="009F5F1F" w:rsidP="00230F08">
      <w:pPr>
        <w:spacing w:before="120" w:after="120" w:line="240" w:lineRule="auto"/>
        <w:ind w:left="360"/>
        <w:contextualSpacing/>
        <w:jc w:val="both"/>
        <w:rPr>
          <w:rFonts w:ascii="Times New Roman" w:eastAsia="PMingLiU" w:hAnsi="Times New Roman" w:cs="Times New Roman"/>
          <w:color w:val="1F4D78" w:themeColor="accent1" w:themeShade="7F"/>
          <w:sz w:val="24"/>
          <w:szCs w:val="24"/>
          <w:lang w:eastAsia="zh-TW" w:bidi="as-IN"/>
        </w:rPr>
      </w:pPr>
      <w:r w:rsidRPr="00C77FF0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br w:type="page"/>
      </w:r>
    </w:p>
    <w:p w14:paraId="312B979F" w14:textId="45F0B339" w:rsidR="009F5F1F" w:rsidRPr="00D060B6" w:rsidRDefault="002B35C2" w:rsidP="00D060B6">
      <w:pPr>
        <w:pStyle w:val="Heading1"/>
        <w:spacing w:before="0" w:after="120" w:line="240" w:lineRule="auto"/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</w:pPr>
      <w:bookmarkStart w:id="6" w:name="_Toc9178807"/>
      <w:r w:rsidRPr="00D060B6"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lastRenderedPageBreak/>
        <w:t xml:space="preserve">PRILOG </w:t>
      </w:r>
      <w:r w:rsidR="009F5F1F" w:rsidRPr="00D060B6"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 xml:space="preserve">1: </w:t>
      </w:r>
      <w:r w:rsidR="00D060B6" w:rsidRPr="00D060B6"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 xml:space="preserve">SPISAK </w:t>
      </w:r>
      <w:r w:rsidR="00E61F41"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>LICA</w:t>
      </w:r>
      <w:r w:rsidR="00D060B6" w:rsidRPr="00D060B6"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 xml:space="preserve"> SA KOJIM</w:t>
      </w:r>
      <w:r w:rsidR="00D350F1"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>A</w:t>
      </w:r>
      <w:r w:rsidR="00D060B6" w:rsidRPr="00D060B6"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 xml:space="preserve"> JE OBAVLJEN INTERVJU</w:t>
      </w:r>
      <w:bookmarkEnd w:id="6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B35C2" w:rsidRPr="002B35C2" w14:paraId="062B5EE7" w14:textId="77777777" w:rsidTr="002B35C2">
        <w:tc>
          <w:tcPr>
            <w:tcW w:w="4530" w:type="dxa"/>
            <w:shd w:val="clear" w:color="auto" w:fill="44546A" w:themeFill="text2"/>
          </w:tcPr>
          <w:p w14:paraId="7E61809C" w14:textId="77777777" w:rsidR="009F5F1F" w:rsidRPr="002B35C2" w:rsidRDefault="009F5F1F" w:rsidP="002B35C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2B35C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Ime i prezime</w:t>
            </w:r>
          </w:p>
        </w:tc>
        <w:tc>
          <w:tcPr>
            <w:tcW w:w="4530" w:type="dxa"/>
            <w:shd w:val="clear" w:color="auto" w:fill="44546A" w:themeFill="text2"/>
          </w:tcPr>
          <w:p w14:paraId="1D0DD722" w14:textId="77777777" w:rsidR="009F5F1F" w:rsidRPr="002B35C2" w:rsidRDefault="009F5F1F" w:rsidP="002B35C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</w:pPr>
            <w:r w:rsidRPr="002B35C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bs-Latn-BA"/>
              </w:rPr>
              <w:t>Institucija</w:t>
            </w:r>
          </w:p>
        </w:tc>
      </w:tr>
      <w:tr w:rsidR="009F5F1F" w:rsidRPr="002B35C2" w14:paraId="7AE7835A" w14:textId="77777777" w:rsidTr="002B35C2">
        <w:tc>
          <w:tcPr>
            <w:tcW w:w="4530" w:type="dxa"/>
            <w:vAlign w:val="center"/>
          </w:tcPr>
          <w:p w14:paraId="089FF3A6" w14:textId="77777777" w:rsidR="009F5F1F" w:rsidRPr="002B35C2" w:rsidRDefault="009F5F1F" w:rsidP="002B35C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Milana Popadić</w:t>
            </w:r>
          </w:p>
        </w:tc>
        <w:tc>
          <w:tcPr>
            <w:tcW w:w="4530" w:type="dxa"/>
            <w:vAlign w:val="center"/>
          </w:tcPr>
          <w:p w14:paraId="3D6CAB5E" w14:textId="04A8C0A8" w:rsidR="009F5F1F" w:rsidRPr="002B35C2" w:rsidRDefault="009F5F1F" w:rsidP="0022533C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</w:t>
            </w:r>
            <w:r w:rsidR="0022533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inistarstvo pravde</w:t>
            </w: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BiH - pomoćnica </w:t>
            </w:r>
            <w:r w:rsidR="00D350F1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ministra u Sektoru za pravosudne organe</w:t>
            </w:r>
          </w:p>
        </w:tc>
      </w:tr>
      <w:tr w:rsidR="009F5F1F" w:rsidRPr="002B35C2" w14:paraId="27A74B2A" w14:textId="77777777" w:rsidTr="002B35C2">
        <w:tc>
          <w:tcPr>
            <w:tcW w:w="4530" w:type="dxa"/>
            <w:vAlign w:val="center"/>
          </w:tcPr>
          <w:p w14:paraId="7C9331BC" w14:textId="77777777" w:rsidR="009F5F1F" w:rsidRPr="002B35C2" w:rsidRDefault="009F5F1F" w:rsidP="002B35C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Dijana Beribaka</w:t>
            </w:r>
          </w:p>
        </w:tc>
        <w:tc>
          <w:tcPr>
            <w:tcW w:w="4530" w:type="dxa"/>
            <w:vAlign w:val="center"/>
          </w:tcPr>
          <w:p w14:paraId="3194447A" w14:textId="5452642E" w:rsidR="009F5F1F" w:rsidRPr="002B35C2" w:rsidRDefault="0022533C" w:rsidP="002B35C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inistarstvo pravde</w:t>
            </w:r>
            <w:r w:rsidR="009F5F1F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482574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BiH </w:t>
            </w:r>
            <w:r w:rsidR="009F5F1F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- šefica Odsjeka</w:t>
            </w:r>
            <w:r w:rsidR="00482574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u Sektoru za upravu</w:t>
            </w:r>
          </w:p>
        </w:tc>
      </w:tr>
      <w:tr w:rsidR="009F5F1F" w:rsidRPr="002B35C2" w14:paraId="10F2BE63" w14:textId="77777777" w:rsidTr="002B35C2">
        <w:tc>
          <w:tcPr>
            <w:tcW w:w="4530" w:type="dxa"/>
            <w:vAlign w:val="center"/>
          </w:tcPr>
          <w:p w14:paraId="6C882EEE" w14:textId="77777777" w:rsidR="009F5F1F" w:rsidRPr="002B35C2" w:rsidRDefault="009F5F1F" w:rsidP="002B35C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Amel Tatlić</w:t>
            </w:r>
          </w:p>
        </w:tc>
        <w:tc>
          <w:tcPr>
            <w:tcW w:w="4530" w:type="dxa"/>
            <w:vAlign w:val="center"/>
          </w:tcPr>
          <w:p w14:paraId="068458AC" w14:textId="3753047C" w:rsidR="009F5F1F" w:rsidRPr="002B35C2" w:rsidRDefault="0022533C" w:rsidP="002B35C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inistarstvo pravde</w:t>
            </w:r>
            <w:r w:rsidR="002B35C2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BiH - </w:t>
            </w:r>
            <w:r w:rsidR="009F5F1F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Stručni savjetnik u Sektoru za kadrovske, </w:t>
            </w:r>
            <w:r w:rsid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opće</w:t>
            </w:r>
            <w:r w:rsidR="009F5F1F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, finansijsko-materijalne poslove</w:t>
            </w:r>
          </w:p>
        </w:tc>
      </w:tr>
      <w:tr w:rsidR="009F5F1F" w:rsidRPr="002B35C2" w14:paraId="44C0B5D8" w14:textId="77777777" w:rsidTr="002B35C2">
        <w:tc>
          <w:tcPr>
            <w:tcW w:w="4530" w:type="dxa"/>
            <w:vAlign w:val="center"/>
          </w:tcPr>
          <w:p w14:paraId="10249010" w14:textId="77777777" w:rsidR="009F5F1F" w:rsidRPr="002B35C2" w:rsidRDefault="009F5F1F" w:rsidP="002B35C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Nikola Sladoje</w:t>
            </w:r>
          </w:p>
        </w:tc>
        <w:tc>
          <w:tcPr>
            <w:tcW w:w="4530" w:type="dxa"/>
            <w:vAlign w:val="center"/>
          </w:tcPr>
          <w:p w14:paraId="591D8723" w14:textId="14E258BD" w:rsidR="009F5F1F" w:rsidRPr="002B35C2" w:rsidRDefault="0022533C" w:rsidP="002B35C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inistarstvo pravde</w:t>
            </w:r>
            <w:r w:rsidR="009F5F1F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BiH - pomoćnik ministra u Sektoru za međunarodnu </w:t>
            </w:r>
            <w:r w:rsid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i međuentitetsku pravnu </w:t>
            </w:r>
            <w:r w:rsidR="009F5F1F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pomoć i saradnju</w:t>
            </w:r>
          </w:p>
        </w:tc>
      </w:tr>
      <w:tr w:rsidR="009F5F1F" w:rsidRPr="002B35C2" w14:paraId="3672B3AE" w14:textId="77777777" w:rsidTr="002B35C2">
        <w:tc>
          <w:tcPr>
            <w:tcW w:w="4530" w:type="dxa"/>
            <w:vAlign w:val="center"/>
          </w:tcPr>
          <w:p w14:paraId="1E026686" w14:textId="77777777" w:rsidR="009F5F1F" w:rsidRPr="002B35C2" w:rsidRDefault="009F5F1F" w:rsidP="002B35C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Emir Mehmedović</w:t>
            </w:r>
          </w:p>
        </w:tc>
        <w:tc>
          <w:tcPr>
            <w:tcW w:w="4530" w:type="dxa"/>
            <w:vAlign w:val="center"/>
          </w:tcPr>
          <w:p w14:paraId="49AB278B" w14:textId="07B2729C" w:rsidR="009F5F1F" w:rsidRPr="002B35C2" w:rsidRDefault="0022533C" w:rsidP="0022533C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inistarstvo pravde</w:t>
            </w:r>
            <w:r w:rsid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BiH – Glavni u</w:t>
            </w:r>
            <w:r w:rsidR="009F5F1F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pravni inspektor</w:t>
            </w:r>
          </w:p>
        </w:tc>
      </w:tr>
      <w:tr w:rsidR="009F5F1F" w:rsidRPr="002B35C2" w14:paraId="68BA05C6" w14:textId="77777777" w:rsidTr="002B35C2">
        <w:tc>
          <w:tcPr>
            <w:tcW w:w="4530" w:type="dxa"/>
            <w:vAlign w:val="center"/>
          </w:tcPr>
          <w:p w14:paraId="57932A8A" w14:textId="77777777" w:rsidR="009F5F1F" w:rsidRPr="002B35C2" w:rsidRDefault="009F5F1F" w:rsidP="002B35C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Adin Hidić</w:t>
            </w:r>
          </w:p>
        </w:tc>
        <w:tc>
          <w:tcPr>
            <w:tcW w:w="4530" w:type="dxa"/>
            <w:vAlign w:val="center"/>
          </w:tcPr>
          <w:p w14:paraId="52F4839C" w14:textId="7A7451D6" w:rsidR="009F5F1F" w:rsidRPr="002B35C2" w:rsidRDefault="0022533C" w:rsidP="002B35C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inistarstvo pravde</w:t>
            </w: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BiH – Stručni savjetnik u Sektoru za i</w:t>
            </w:r>
            <w:r w:rsidR="009F5F1F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zvršenje krivičnih sankcija</w:t>
            </w:r>
            <w:r w:rsid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i rad kaznene ustanove</w:t>
            </w:r>
          </w:p>
        </w:tc>
      </w:tr>
      <w:tr w:rsidR="009F5F1F" w:rsidRPr="002B35C2" w14:paraId="203FC578" w14:textId="77777777" w:rsidTr="002B35C2">
        <w:tc>
          <w:tcPr>
            <w:tcW w:w="4530" w:type="dxa"/>
            <w:vAlign w:val="center"/>
          </w:tcPr>
          <w:p w14:paraId="270ED683" w14:textId="77777777" w:rsidR="009F5F1F" w:rsidRPr="002B35C2" w:rsidRDefault="009F5F1F" w:rsidP="002B35C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Jelena Skokić</w:t>
            </w:r>
          </w:p>
        </w:tc>
        <w:tc>
          <w:tcPr>
            <w:tcW w:w="4530" w:type="dxa"/>
            <w:vAlign w:val="center"/>
          </w:tcPr>
          <w:p w14:paraId="5C8C6B09" w14:textId="5FC9A8BB" w:rsidR="009F5F1F" w:rsidRPr="002B35C2" w:rsidRDefault="0022533C" w:rsidP="0048257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inistarstvo pravde</w:t>
            </w: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BiH – </w:t>
            </w:r>
            <w:r w:rsidR="00482574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Stručna saradnica u Sektoru za pravnu pomoć i razvoj civilnog društva</w:t>
            </w:r>
          </w:p>
        </w:tc>
      </w:tr>
      <w:tr w:rsidR="009F5F1F" w:rsidRPr="002B35C2" w14:paraId="5E7BB1BA" w14:textId="77777777" w:rsidTr="002B35C2">
        <w:tc>
          <w:tcPr>
            <w:tcW w:w="4530" w:type="dxa"/>
            <w:vAlign w:val="center"/>
          </w:tcPr>
          <w:p w14:paraId="36D48BDA" w14:textId="77777777" w:rsidR="009F5F1F" w:rsidRPr="002B35C2" w:rsidRDefault="009F5F1F" w:rsidP="002B35C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Tanja Lučić</w:t>
            </w:r>
          </w:p>
        </w:tc>
        <w:tc>
          <w:tcPr>
            <w:tcW w:w="4530" w:type="dxa"/>
            <w:vAlign w:val="center"/>
          </w:tcPr>
          <w:p w14:paraId="1ED88EAB" w14:textId="0D8A1866" w:rsidR="009F5F1F" w:rsidRPr="0022533C" w:rsidRDefault="009F5F1F" w:rsidP="002B35C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Direkcija za </w:t>
            </w:r>
            <w:r w:rsidR="007D7560"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ekonomsko</w:t>
            </w: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planiranje BiH</w:t>
            </w:r>
            <w:r w:rsid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482574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482574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šefica Odsjeka</w:t>
            </w:r>
            <w:r w:rsidR="0022533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u Sektoru </w:t>
            </w:r>
            <w:r w:rsidR="0022533C" w:rsidRPr="0022533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za koordinaciju pripreme, monitoring implementacije i evaluaciju razvojnih dokumenata</w:t>
            </w:r>
          </w:p>
        </w:tc>
      </w:tr>
      <w:tr w:rsidR="009F5F1F" w:rsidRPr="002B35C2" w14:paraId="6160B29C" w14:textId="77777777" w:rsidTr="002B35C2">
        <w:tc>
          <w:tcPr>
            <w:tcW w:w="4530" w:type="dxa"/>
            <w:vAlign w:val="center"/>
          </w:tcPr>
          <w:p w14:paraId="4BF2AF87" w14:textId="77777777" w:rsidR="009F5F1F" w:rsidRPr="002B35C2" w:rsidRDefault="009F5F1F" w:rsidP="002B35C2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Željka Boljanović</w:t>
            </w:r>
          </w:p>
        </w:tc>
        <w:tc>
          <w:tcPr>
            <w:tcW w:w="4530" w:type="dxa"/>
            <w:vAlign w:val="center"/>
          </w:tcPr>
          <w:p w14:paraId="7373506E" w14:textId="4A5413FF" w:rsidR="009F5F1F" w:rsidRPr="002B35C2" w:rsidRDefault="009F5F1F" w:rsidP="0048257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Ministarstvo finansija i trezora</w:t>
            </w:r>
            <w:r w:rsid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482574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482574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šefica Odsjeka u Sektoru za koordianciju međunarodnu ekonomske pomoći</w:t>
            </w:r>
          </w:p>
        </w:tc>
      </w:tr>
      <w:tr w:rsidR="00482574" w:rsidRPr="002B35C2" w14:paraId="0F52D4FC" w14:textId="77777777" w:rsidTr="002B35C2">
        <w:tc>
          <w:tcPr>
            <w:tcW w:w="4530" w:type="dxa"/>
            <w:vAlign w:val="center"/>
          </w:tcPr>
          <w:p w14:paraId="54E6DD63" w14:textId="16900411" w:rsidR="00482574" w:rsidRPr="00482574" w:rsidRDefault="00482574" w:rsidP="002B35C2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Arijana Arnautović</w:t>
            </w:r>
          </w:p>
        </w:tc>
        <w:tc>
          <w:tcPr>
            <w:tcW w:w="4530" w:type="dxa"/>
            <w:vAlign w:val="center"/>
          </w:tcPr>
          <w:p w14:paraId="37C8041E" w14:textId="6E3CC54A" w:rsidR="00482574" w:rsidRPr="00482574" w:rsidRDefault="00482574" w:rsidP="0048257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Ministarstvo finansija i trezora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– Stručna savjetnica u Sektoru za koordianciju međunarodnu ekonomske pomoći</w:t>
            </w:r>
          </w:p>
        </w:tc>
      </w:tr>
      <w:tr w:rsidR="00482574" w:rsidRPr="002B35C2" w14:paraId="0B0B7594" w14:textId="77777777" w:rsidTr="002B35C2">
        <w:tc>
          <w:tcPr>
            <w:tcW w:w="4530" w:type="dxa"/>
            <w:vAlign w:val="center"/>
          </w:tcPr>
          <w:p w14:paraId="595059AB" w14:textId="2C69913C" w:rsidR="00482574" w:rsidRPr="00482574" w:rsidRDefault="00482574" w:rsidP="002B35C2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Aida Džubur</w:t>
            </w:r>
          </w:p>
        </w:tc>
        <w:tc>
          <w:tcPr>
            <w:tcW w:w="4530" w:type="dxa"/>
            <w:vAlign w:val="center"/>
          </w:tcPr>
          <w:p w14:paraId="7A8CEA75" w14:textId="32FCB1A6" w:rsidR="00482574" w:rsidRPr="00482574" w:rsidRDefault="00482574" w:rsidP="00482574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2B35C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Ministarstvo finansija i trezora</w:t>
            </w: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– Stručna savjetnica u Sektoru za koordianciju međunarodnu ekonomske pomoći</w:t>
            </w:r>
          </w:p>
        </w:tc>
      </w:tr>
    </w:tbl>
    <w:p w14:paraId="29BCDC6C" w14:textId="77777777" w:rsidR="00D060B6" w:rsidRDefault="00D060B6">
      <w:pPr>
        <w:rPr>
          <w:rFonts w:ascii="Times New Roman" w:eastAsia="PMingLiU" w:hAnsi="Times New Roman" w:cs="Times New Roman"/>
          <w:b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b/>
          <w:lang w:eastAsia="zh-TW" w:bidi="as-IN"/>
        </w:rPr>
        <w:br w:type="page"/>
      </w:r>
    </w:p>
    <w:p w14:paraId="1BF8E30F" w14:textId="75C53E08" w:rsidR="009F5F1F" w:rsidRPr="00D060B6" w:rsidRDefault="002B35C2" w:rsidP="00D060B6">
      <w:pPr>
        <w:pStyle w:val="Heading1"/>
        <w:spacing w:before="0" w:after="120" w:line="240" w:lineRule="auto"/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</w:pPr>
      <w:bookmarkStart w:id="7" w:name="_Toc9178808"/>
      <w:r w:rsidRPr="00D060B6"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lastRenderedPageBreak/>
        <w:t xml:space="preserve">PRILOG </w:t>
      </w:r>
      <w:r w:rsidR="009F5F1F" w:rsidRPr="00D060B6"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 xml:space="preserve">2: </w:t>
      </w:r>
      <w:r w:rsidR="00D060B6" w:rsidRPr="00D060B6">
        <w:rPr>
          <w:rFonts w:ascii="Times New Roman" w:eastAsia="PMingLiU" w:hAnsi="Times New Roman" w:cs="Times New Roman"/>
          <w:b/>
          <w:color w:val="auto"/>
          <w:sz w:val="24"/>
          <w:szCs w:val="24"/>
          <w:lang w:eastAsia="zh-TW" w:bidi="as-IN"/>
        </w:rPr>
        <w:t>BIBLIOGRAFIJA</w:t>
      </w:r>
      <w:bookmarkEnd w:id="7"/>
    </w:p>
    <w:p w14:paraId="28416C16" w14:textId="247541C4" w:rsidR="009F5F1F" w:rsidRPr="002B35C2" w:rsidRDefault="009F5F1F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Srednjoročni program rada V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ijeća ministara</w:t>
      </w: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B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osne </w:t>
      </w: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H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ercegovine</w:t>
      </w: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i Srednjoročni plan rada M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inistarstva pravde</w:t>
      </w: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B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osne i Hercegovine</w:t>
      </w: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za period od </w:t>
      </w: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2016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do</w:t>
      </w: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2018.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godine,</w:t>
      </w:r>
    </w:p>
    <w:p w14:paraId="6F7543B1" w14:textId="46220F8C" w:rsidR="009F5F1F" w:rsidRPr="002B35C2" w:rsidRDefault="009F5F1F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kcioni plan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ovi</w:t>
      </w: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Srednjoročnog programa rada Vijeća ministara Bosne i Hercegovine i Srednjoročnog plana rada Ministarstva pravde Bosne i Hercegovine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za period od </w:t>
      </w:r>
      <w:r w:rsidR="00D060B6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2016.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do</w:t>
      </w:r>
      <w:r w:rsidR="00D060B6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2018. godine</w:t>
      </w: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,</w:t>
      </w:r>
    </w:p>
    <w:p w14:paraId="216A47CB" w14:textId="49337542" w:rsidR="00D060B6" w:rsidRPr="002B35C2" w:rsidRDefault="007D7560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Akcioni plan</w:t>
      </w:r>
      <w:r w:rsidR="009F5F1F" w:rsidRP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</w:t>
      </w:r>
      <w:r w:rsidRP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Srednjoročnog plana rada Ministarstva pravde Bosne i Hercegovine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 period od 2017</w:t>
      </w:r>
      <w:r w:rsidR="00D060B6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do 2019</w:t>
      </w:r>
      <w:r w:rsidR="00D060B6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. godine,</w:t>
      </w:r>
    </w:p>
    <w:p w14:paraId="204F3F36" w14:textId="6930D525" w:rsidR="009F5F1F" w:rsidRPr="00D060B6" w:rsidRDefault="007D7560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Akcioni plan Srednjoročnog programa rada Vijeća ministara Bosne i Hercegovine i Srednjoročnog plana rada Ministarstva pravde Bosne i Hercegovine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za period od </w:t>
      </w:r>
      <w:r w:rsidR="009F5F1F" w:rsidRP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2018.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do</w:t>
      </w:r>
      <w:r w:rsidR="009F5F1F" w:rsidRP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 2020. godine,</w:t>
      </w:r>
    </w:p>
    <w:p w14:paraId="2F2DC760" w14:textId="77777777" w:rsidR="009F5F1F" w:rsidRPr="002B35C2" w:rsidRDefault="009F5F1F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Izvještaj o radu 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Ministarstva pravde Bosne i Hercegovine </w:t>
      </w: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 2016. godinu,</w:t>
      </w:r>
    </w:p>
    <w:p w14:paraId="222ED0C9" w14:textId="77777777" w:rsidR="009F5F1F" w:rsidRPr="002B35C2" w:rsidRDefault="009F5F1F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Izvještaj o radu 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Ministarstva pravde Bosne i Hercegovine </w:t>
      </w: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 2017. godinu,</w:t>
      </w:r>
    </w:p>
    <w:p w14:paraId="43C579B3" w14:textId="77777777" w:rsidR="009F5F1F" w:rsidRPr="002B35C2" w:rsidRDefault="009F5F1F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Izvještaj o radu 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Ministarstva pravde Bosne i Hercegovine </w:t>
      </w: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 2018. godinu,</w:t>
      </w:r>
    </w:p>
    <w:p w14:paraId="2D5D2354" w14:textId="2A5F27F8" w:rsidR="009F5F1F" w:rsidRPr="002B35C2" w:rsidRDefault="00D060B6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Izvještaj o p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rovođenju 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Srednjoročnog plana rada Ministarstva pravde Bosne i Hercegovine 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 2016. godinu,</w:t>
      </w:r>
    </w:p>
    <w:p w14:paraId="27BFB815" w14:textId="59EE7333" w:rsidR="009F5F1F" w:rsidRPr="002B35C2" w:rsidRDefault="00D060B6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Izvještaj o p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rovođenju 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Srednjoročnog plana rada Ministarstva pravde Bosne i Hercegovine 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 2017. godinu,</w:t>
      </w:r>
    </w:p>
    <w:p w14:paraId="3DF7A9C8" w14:textId="3F63E561" w:rsidR="009F5F1F" w:rsidRPr="002B35C2" w:rsidRDefault="009F5F1F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Izvještaj </w:t>
      </w:r>
      <w:r w:rsidR="00D060B6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o p</w:t>
      </w: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rovođenju 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Srednjoročnog plana rada Ministarstva pravde Bosne i Hercegovine </w:t>
      </w: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za 2018. godinu,</w:t>
      </w:r>
    </w:p>
    <w:p w14:paraId="69AD87BB" w14:textId="77777777" w:rsidR="007D7560" w:rsidRPr="002B35C2" w:rsidRDefault="009F5F1F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Priručnik za </w:t>
      </w:r>
      <w:r w:rsidR="007D7560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strateško planiranje,</w:t>
      </w:r>
    </w:p>
    <w:p w14:paraId="72945282" w14:textId="77777777" w:rsidR="00161EC7" w:rsidRPr="002B35C2" w:rsidRDefault="007D7560" w:rsidP="00D060B6">
      <w:pPr>
        <w:pStyle w:val="ListParagraph"/>
        <w:numPr>
          <w:ilvl w:val="0"/>
          <w:numId w:val="2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 w:bidi="as-IN"/>
        </w:rPr>
      </w:pPr>
      <w:r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 xml:space="preserve">Priručnik za </w:t>
      </w:r>
      <w:r w:rsidR="009F5F1F" w:rsidRPr="002B35C2">
        <w:rPr>
          <w:rFonts w:ascii="Times New Roman" w:eastAsia="PMingLiU" w:hAnsi="Times New Roman" w:cs="Times New Roman"/>
          <w:sz w:val="24"/>
          <w:szCs w:val="24"/>
          <w:lang w:eastAsia="zh-TW" w:bidi="as-IN"/>
        </w:rPr>
        <w:t>evaluaciju planskih dokumenata.</w:t>
      </w:r>
    </w:p>
    <w:sectPr w:rsidR="00161EC7" w:rsidRPr="002B35C2" w:rsidSect="009F5F1F">
      <w:footerReference w:type="default" r:id="rId12"/>
      <w:headerReference w:type="first" r:id="rId13"/>
      <w:footerReference w:type="first" r:id="rId14"/>
      <w:pgSz w:w="11906" w:h="16838" w:code="9"/>
      <w:pgMar w:top="1418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68AC2" w14:textId="77777777" w:rsidR="00507C2D" w:rsidRDefault="00507C2D" w:rsidP="00E034AB">
      <w:pPr>
        <w:spacing w:after="0" w:line="240" w:lineRule="auto"/>
      </w:pPr>
      <w:r>
        <w:separator/>
      </w:r>
    </w:p>
  </w:endnote>
  <w:endnote w:type="continuationSeparator" w:id="0">
    <w:p w14:paraId="5899F456" w14:textId="77777777" w:rsidR="00507C2D" w:rsidRDefault="00507C2D" w:rsidP="00E0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3157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20A12" w14:textId="07424688" w:rsidR="0006619F" w:rsidRDefault="0006619F" w:rsidP="0097514C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89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04F19" w14:textId="6B2C432C" w:rsidR="0006619F" w:rsidRPr="00A25056" w:rsidRDefault="0006619F" w:rsidP="00A25056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672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8FB657" w14:textId="5EA71388" w:rsidR="0006619F" w:rsidRDefault="0006619F" w:rsidP="0097514C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897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34C30" w14:textId="419C62E0" w:rsidR="0006619F" w:rsidRDefault="0006619F">
    <w:pPr>
      <w:pStyle w:val="Footer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7897">
      <w:rPr>
        <w:noProof/>
      </w:rPr>
      <w:t>31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2149E" w14:textId="77777777" w:rsidR="00507C2D" w:rsidRDefault="00507C2D" w:rsidP="00E034AB">
      <w:pPr>
        <w:spacing w:after="0" w:line="240" w:lineRule="auto"/>
      </w:pPr>
      <w:r>
        <w:separator/>
      </w:r>
    </w:p>
  </w:footnote>
  <w:footnote w:type="continuationSeparator" w:id="0">
    <w:p w14:paraId="18993FB3" w14:textId="77777777" w:rsidR="00507C2D" w:rsidRDefault="00507C2D" w:rsidP="00E034AB">
      <w:pPr>
        <w:spacing w:after="0" w:line="240" w:lineRule="auto"/>
      </w:pPr>
      <w:r>
        <w:continuationSeparator/>
      </w:r>
    </w:p>
  </w:footnote>
  <w:footnote w:id="1">
    <w:p w14:paraId="6A8737BD" w14:textId="75713F95" w:rsidR="0006619F" w:rsidRPr="00012F5E" w:rsidRDefault="0006619F" w:rsidP="008E44FA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012F5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2F5E">
        <w:rPr>
          <w:rFonts w:ascii="Times New Roman" w:hAnsi="Times New Roman" w:cs="Times New Roman"/>
          <w:sz w:val="18"/>
          <w:szCs w:val="18"/>
        </w:rPr>
        <w:t xml:space="preserve"> Posebni ciljevi u SPR MP BiH su u prvom ciklusu bili prijedlozi programa u Srednjoročnom programu rada VM BiH. Tokom 2017. godine došlo je do usklađivanja i ispravke u tom dijelu, tako da su, od 2018. godine, u SPR MP BiH i Srednjoročnom programu rada VM BiH nazivi programa izjednačeni, a posebni ciljevi su zadržani u SPR MP BiH.</w:t>
      </w:r>
    </w:p>
  </w:footnote>
  <w:footnote w:id="2">
    <w:p w14:paraId="7F52A24E" w14:textId="77777777" w:rsidR="0006619F" w:rsidRPr="00012F5E" w:rsidRDefault="0006619F" w:rsidP="008E44FA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012F5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2F5E">
        <w:rPr>
          <w:rFonts w:ascii="Times New Roman" w:hAnsi="Times New Roman" w:cs="Times New Roman"/>
          <w:sz w:val="18"/>
          <w:szCs w:val="18"/>
        </w:rPr>
        <w:t xml:space="preserve"> Tokom 2018. godine posebni ciljevi ostaju isti, s tim da jedan posebni cilj uz sebe veže po jedan program.</w:t>
      </w:r>
    </w:p>
  </w:footnote>
  <w:footnote w:id="3">
    <w:p w14:paraId="08A47D9B" w14:textId="052C590B" w:rsidR="0006619F" w:rsidRPr="00012F5E" w:rsidRDefault="0006619F" w:rsidP="00012F5E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012F5E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012F5E">
        <w:rPr>
          <w:rFonts w:ascii="Times New Roman" w:hAnsi="Times New Roman" w:cs="Times New Roman"/>
          <w:sz w:val="18"/>
          <w:szCs w:val="18"/>
        </w:rPr>
        <w:t xml:space="preserve"> Tokom izrade SPR i AP SPR MP BiH za </w:t>
      </w:r>
      <w:r>
        <w:rPr>
          <w:rFonts w:ascii="Times New Roman" w:hAnsi="Times New Roman" w:cs="Times New Roman"/>
          <w:sz w:val="18"/>
          <w:szCs w:val="18"/>
        </w:rPr>
        <w:t>period 2018 do 2020. godine</w:t>
      </w:r>
      <w:r w:rsidRPr="00012F5E">
        <w:rPr>
          <w:rFonts w:ascii="Times New Roman" w:hAnsi="Times New Roman" w:cs="Times New Roman"/>
          <w:sz w:val="18"/>
          <w:szCs w:val="18"/>
        </w:rPr>
        <w:t>, posebni ciljevi ovog srednjoročnoga cilja su grupisani u jedan posebni cilj koji glasi: „Stvarati pretpostavke za aktivniji angažman civilnog društva, te dalje unaprijediti sistem uprave i upravne inspekcije, kao i provoditi uspješnu koordinaciju i jačati uloge i odgovornosti najvažnijih institucija u sektoru pravde i uprave u BiH“.</w:t>
      </w:r>
    </w:p>
  </w:footnote>
  <w:footnote w:id="4">
    <w:p w14:paraId="5EF9C6E9" w14:textId="32301950" w:rsidR="0006619F" w:rsidRPr="008A4D28" w:rsidRDefault="0006619F" w:rsidP="008A4D28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8A4D2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A4D28">
        <w:rPr>
          <w:rFonts w:ascii="Times New Roman" w:hAnsi="Times New Roman" w:cs="Times New Roman"/>
          <w:sz w:val="18"/>
          <w:szCs w:val="18"/>
        </w:rPr>
        <w:t xml:space="preserve"> </w:t>
      </w:r>
      <w:r w:rsidRPr="008A4D28">
        <w:rPr>
          <w:rFonts w:ascii="Times New Roman" w:hAnsi="Times New Roman" w:cs="Times New Roman"/>
          <w:sz w:val="18"/>
          <w:szCs w:val="18"/>
          <w:lang w:val="hr-HR"/>
        </w:rPr>
        <w:t>Ukupne troškove iskazane u koloni čini zbir budžeta, kredita i donacija (kredit 24.447.874,00</w:t>
      </w:r>
      <w:r>
        <w:rPr>
          <w:rFonts w:ascii="Times New Roman" w:hAnsi="Times New Roman" w:cs="Times New Roman"/>
          <w:sz w:val="18"/>
          <w:szCs w:val="18"/>
          <w:lang w:val="hr-HR"/>
        </w:rPr>
        <w:t xml:space="preserve"> KM</w:t>
      </w:r>
      <w:r w:rsidRPr="008A4D28">
        <w:rPr>
          <w:rFonts w:ascii="Times New Roman" w:hAnsi="Times New Roman" w:cs="Times New Roman"/>
          <w:sz w:val="18"/>
          <w:szCs w:val="18"/>
          <w:lang w:val="hr-HR"/>
        </w:rPr>
        <w:t xml:space="preserve"> i donacije 45.500.444,55</w:t>
      </w:r>
      <w:r>
        <w:rPr>
          <w:rFonts w:ascii="Times New Roman" w:hAnsi="Times New Roman" w:cs="Times New Roman"/>
          <w:sz w:val="18"/>
          <w:szCs w:val="18"/>
          <w:lang w:val="hr-HR"/>
        </w:rPr>
        <w:t xml:space="preserve"> KM</w:t>
      </w:r>
      <w:r w:rsidRPr="008A4D28">
        <w:rPr>
          <w:rFonts w:ascii="Times New Roman" w:hAnsi="Times New Roman" w:cs="Times New Roman"/>
          <w:sz w:val="18"/>
          <w:szCs w:val="18"/>
          <w:lang w:val="hr-HR"/>
        </w:rPr>
        <w:t>).</w:t>
      </w:r>
    </w:p>
  </w:footnote>
  <w:footnote w:id="5">
    <w:p w14:paraId="12CB5E68" w14:textId="37A63D9C" w:rsidR="0006619F" w:rsidRPr="00C576C8" w:rsidRDefault="0006619F" w:rsidP="009F5F1F">
      <w:pPr>
        <w:spacing w:after="0"/>
        <w:ind w:left="1"/>
        <w:suppressOverlap/>
        <w:jc w:val="both"/>
        <w:rPr>
          <w:rFonts w:ascii="Times New Roman" w:hAnsi="Times New Roman" w:cs="Times New Roman"/>
          <w:sz w:val="18"/>
          <w:szCs w:val="18"/>
          <w:lang w:val="hr-HR"/>
        </w:rPr>
      </w:pPr>
      <w:r w:rsidRPr="00C576C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C576C8">
        <w:rPr>
          <w:rFonts w:ascii="Times New Roman" w:hAnsi="Times New Roman" w:cs="Times New Roman"/>
          <w:sz w:val="18"/>
          <w:szCs w:val="18"/>
          <w:lang w:val="hr-HR"/>
        </w:rPr>
        <w:t>U toku trogodišnjeg perioda, MP BiH je radilo na izradi navedenih zakona, ali i</w:t>
      </w:r>
      <w:r>
        <w:rPr>
          <w:rFonts w:ascii="Times New Roman" w:hAnsi="Times New Roman" w:cs="Times New Roman"/>
          <w:sz w:val="18"/>
          <w:szCs w:val="18"/>
          <w:lang w:val="hr-HR"/>
        </w:rPr>
        <w:t xml:space="preserve"> dodatnih zakona koji su definis</w:t>
      </w:r>
      <w:r w:rsidRPr="00C576C8">
        <w:rPr>
          <w:rFonts w:ascii="Times New Roman" w:hAnsi="Times New Roman" w:cs="Times New Roman"/>
          <w:sz w:val="18"/>
          <w:szCs w:val="18"/>
          <w:lang w:val="hr-HR"/>
        </w:rPr>
        <w:t xml:space="preserve">ani naknadno u </w:t>
      </w:r>
      <w:r>
        <w:rPr>
          <w:rFonts w:ascii="Times New Roman" w:hAnsi="Times New Roman" w:cs="Times New Roman"/>
          <w:sz w:val="18"/>
          <w:szCs w:val="18"/>
          <w:lang w:val="hr-HR"/>
        </w:rPr>
        <w:t>GPR-u</w:t>
      </w:r>
      <w:r w:rsidRPr="00C576C8">
        <w:rPr>
          <w:rFonts w:ascii="Times New Roman" w:hAnsi="Times New Roman" w:cs="Times New Roman"/>
          <w:sz w:val="18"/>
          <w:szCs w:val="18"/>
          <w:lang w:val="hr-HR"/>
        </w:rPr>
        <w:t xml:space="preserve"> MP BiH, kao i u SPR-u </w:t>
      </w:r>
      <w:r>
        <w:rPr>
          <w:rFonts w:ascii="Times New Roman" w:hAnsi="Times New Roman" w:cs="Times New Roman"/>
          <w:sz w:val="18"/>
          <w:szCs w:val="18"/>
          <w:lang w:val="hr-HR"/>
        </w:rPr>
        <w:t xml:space="preserve">MP BiH </w:t>
      </w:r>
      <w:r w:rsidRPr="00C576C8">
        <w:rPr>
          <w:rFonts w:ascii="Times New Roman" w:hAnsi="Times New Roman" w:cs="Times New Roman"/>
          <w:sz w:val="18"/>
          <w:szCs w:val="18"/>
          <w:lang w:val="hr-HR"/>
        </w:rPr>
        <w:t xml:space="preserve">2017. i 2018. godine, tako da se obim zakona povećao. Potrebno je naglasiti da je </w:t>
      </w:r>
      <w:r>
        <w:rPr>
          <w:rFonts w:ascii="Times New Roman" w:hAnsi="Times New Roman" w:cs="Times New Roman"/>
          <w:sz w:val="18"/>
          <w:szCs w:val="18"/>
          <w:lang w:val="hr-HR"/>
        </w:rPr>
        <w:t>naknadno</w:t>
      </w:r>
      <w:r w:rsidRPr="00C576C8">
        <w:rPr>
          <w:rFonts w:ascii="Times New Roman" w:hAnsi="Times New Roman" w:cs="Times New Roman"/>
          <w:sz w:val="18"/>
          <w:szCs w:val="18"/>
          <w:lang w:val="hr-HR"/>
        </w:rPr>
        <w:t xml:space="preserve"> uočeno kako navedeni projekti po svojoj strukturi bolje odgovaraju aktivnostima, te su pojedini p</w:t>
      </w:r>
      <w:r>
        <w:rPr>
          <w:rFonts w:ascii="Times New Roman" w:hAnsi="Times New Roman" w:cs="Times New Roman"/>
          <w:sz w:val="18"/>
          <w:szCs w:val="18"/>
          <w:lang w:val="hr-HR"/>
        </w:rPr>
        <w:t>rojekti koji se tiču normativno</w:t>
      </w:r>
      <w:r w:rsidRPr="00C576C8">
        <w:rPr>
          <w:rFonts w:ascii="Times New Roman" w:hAnsi="Times New Roman" w:cs="Times New Roman"/>
          <w:sz w:val="18"/>
          <w:szCs w:val="18"/>
          <w:lang w:val="hr-HR"/>
        </w:rPr>
        <w:t>pravne tematike preneseni u jedan projekat, a sadržaj cijelog programa je postao nazivom jednog projekta. S</w:t>
      </w:r>
      <w:r>
        <w:rPr>
          <w:rFonts w:ascii="Times New Roman" w:hAnsi="Times New Roman" w:cs="Times New Roman"/>
          <w:sz w:val="18"/>
          <w:szCs w:val="18"/>
          <w:lang w:val="hr-HR"/>
        </w:rPr>
        <w:t>a</w:t>
      </w:r>
      <w:r w:rsidRPr="00C576C8">
        <w:rPr>
          <w:rFonts w:ascii="Times New Roman" w:hAnsi="Times New Roman" w:cs="Times New Roman"/>
          <w:sz w:val="18"/>
          <w:szCs w:val="18"/>
          <w:lang w:val="hr-HR"/>
        </w:rPr>
        <w:t xml:space="preserve"> tim u vezi veoma je teško za trogodišnji period praćenja i izvještavanja na osnovu izvještaja SPR-a </w:t>
      </w:r>
      <w:r>
        <w:rPr>
          <w:rFonts w:ascii="Times New Roman" w:hAnsi="Times New Roman" w:cs="Times New Roman"/>
          <w:sz w:val="18"/>
          <w:szCs w:val="18"/>
          <w:lang w:val="hr-HR"/>
        </w:rPr>
        <w:t xml:space="preserve">BiH </w:t>
      </w:r>
      <w:r w:rsidRPr="00C576C8">
        <w:rPr>
          <w:rFonts w:ascii="Times New Roman" w:hAnsi="Times New Roman" w:cs="Times New Roman"/>
          <w:sz w:val="18"/>
          <w:szCs w:val="18"/>
          <w:lang w:val="hr-HR"/>
        </w:rPr>
        <w:t xml:space="preserve">dati precizan stepen </w:t>
      </w:r>
      <w:r>
        <w:rPr>
          <w:rFonts w:ascii="Times New Roman" w:hAnsi="Times New Roman" w:cs="Times New Roman"/>
          <w:sz w:val="18"/>
          <w:szCs w:val="18"/>
          <w:lang w:val="hr-HR"/>
        </w:rPr>
        <w:t>provođenja</w:t>
      </w:r>
      <w:r w:rsidRPr="00C576C8">
        <w:rPr>
          <w:rFonts w:ascii="Times New Roman" w:hAnsi="Times New Roman" w:cs="Times New Roman"/>
          <w:sz w:val="18"/>
          <w:szCs w:val="18"/>
          <w:lang w:val="hr-HR"/>
        </w:rPr>
        <w:t xml:space="preserve"> svih projekata koji su uneseni u SPR MP BiH </w:t>
      </w:r>
      <w:r>
        <w:rPr>
          <w:rFonts w:ascii="Times New Roman" w:hAnsi="Times New Roman" w:cs="Times New Roman"/>
          <w:sz w:val="18"/>
          <w:szCs w:val="18"/>
          <w:lang w:val="hr-HR"/>
        </w:rPr>
        <w:t>za period od 2016. do</w:t>
      </w:r>
      <w:r w:rsidRPr="00C576C8">
        <w:rPr>
          <w:rFonts w:ascii="Times New Roman" w:hAnsi="Times New Roman" w:cs="Times New Roman"/>
          <w:sz w:val="18"/>
          <w:szCs w:val="18"/>
          <w:lang w:val="hr-HR"/>
        </w:rPr>
        <w:t xml:space="preserve"> 2018. godine, jer su tokom provođenja postali dio </w:t>
      </w:r>
      <w:r>
        <w:rPr>
          <w:rFonts w:ascii="Times New Roman" w:hAnsi="Times New Roman" w:cs="Times New Roman"/>
          <w:sz w:val="18"/>
          <w:szCs w:val="18"/>
          <w:lang w:val="hr-HR"/>
        </w:rPr>
        <w:t xml:space="preserve">GPR-a </w:t>
      </w:r>
      <w:r w:rsidRPr="00C576C8">
        <w:rPr>
          <w:rFonts w:ascii="Times New Roman" w:hAnsi="Times New Roman" w:cs="Times New Roman"/>
          <w:sz w:val="18"/>
          <w:szCs w:val="18"/>
          <w:lang w:val="hr-HR"/>
        </w:rPr>
        <w:t>MP BiH za 2017. i 2018. godinu.</w:t>
      </w:r>
    </w:p>
  </w:footnote>
  <w:footnote w:id="6">
    <w:p w14:paraId="226F17C1" w14:textId="6BA0FE36" w:rsidR="0006619F" w:rsidRPr="00C576C8" w:rsidRDefault="0006619F" w:rsidP="009F5F1F">
      <w:pPr>
        <w:pStyle w:val="CommentText"/>
        <w:jc w:val="both"/>
        <w:rPr>
          <w:rFonts w:ascii="Times New Roman" w:eastAsia="PMingLiU" w:hAnsi="Times New Roman" w:cs="Times New Roman"/>
          <w:i/>
          <w:sz w:val="18"/>
          <w:szCs w:val="18"/>
          <w:lang w:val="hr-HR" w:eastAsia="zh-TW" w:bidi="as-IN"/>
        </w:rPr>
      </w:pPr>
      <w:r w:rsidRPr="00C576C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C576C8">
        <w:rPr>
          <w:rFonts w:ascii="Times New Roman" w:eastAsia="PMingLiU" w:hAnsi="Times New Roman" w:cs="Times New Roman"/>
          <w:sz w:val="18"/>
          <w:szCs w:val="18"/>
          <w:lang w:val="hr-HR" w:eastAsia="zh-TW" w:bidi="as-IN"/>
        </w:rPr>
        <w:t>U Akcionom planu SPR-a MP BiH za 2018. – 2020. godinu projekti od 1.1.1.1 do 1.1.1.9 postaju jedan projek</w:t>
      </w:r>
      <w:r>
        <w:rPr>
          <w:rFonts w:ascii="Times New Roman" w:eastAsia="PMingLiU" w:hAnsi="Times New Roman" w:cs="Times New Roman"/>
          <w:sz w:val="18"/>
          <w:szCs w:val="18"/>
          <w:lang w:val="hr-HR" w:eastAsia="zh-TW" w:bidi="as-IN"/>
        </w:rPr>
        <w:t>a</w:t>
      </w:r>
      <w:r w:rsidRPr="00C576C8">
        <w:rPr>
          <w:rFonts w:ascii="Times New Roman" w:eastAsia="PMingLiU" w:hAnsi="Times New Roman" w:cs="Times New Roman"/>
          <w:sz w:val="18"/>
          <w:szCs w:val="18"/>
          <w:lang w:val="hr-HR" w:eastAsia="zh-TW" w:bidi="as-IN"/>
        </w:rPr>
        <w:t>t, te nose naziv : 1.1.1.1 Normativno pravna djelatnost, provođenje i praćenje propisa iz oblasti pravosuđa, a sami zakoni i podzakonski akti se navode pojedinačno u dijelu Pregled zakona, drugih propisa i razvojno-investicionih projekata/programa predviđenih srednjoročnim planom rada institucije</w:t>
      </w:r>
      <w:r w:rsidRPr="00C576C8">
        <w:rPr>
          <w:rFonts w:ascii="Times New Roman" w:eastAsia="PMingLiU" w:hAnsi="Times New Roman" w:cs="Times New Roman"/>
          <w:i/>
          <w:sz w:val="18"/>
          <w:szCs w:val="18"/>
          <w:lang w:val="hr-HR" w:eastAsia="zh-TW" w:bidi="as-IN"/>
        </w:rPr>
        <w:t>.</w:t>
      </w:r>
    </w:p>
  </w:footnote>
  <w:footnote w:id="7">
    <w:p w14:paraId="6940C87A" w14:textId="1DA38574" w:rsidR="0006619F" w:rsidRPr="00B02828" w:rsidRDefault="0006619F" w:rsidP="009F5F1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282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02828">
        <w:rPr>
          <w:rFonts w:ascii="Times New Roman" w:hAnsi="Times New Roman" w:cs="Times New Roman"/>
          <w:sz w:val="18"/>
          <w:szCs w:val="18"/>
        </w:rPr>
        <w:t xml:space="preserve"> U skladu sa provođenjem i finalizacijom projekata pojedini su iz prethodnog pr</w:t>
      </w:r>
      <w:r>
        <w:rPr>
          <w:rFonts w:ascii="Times New Roman" w:hAnsi="Times New Roman" w:cs="Times New Roman"/>
          <w:sz w:val="18"/>
          <w:szCs w:val="18"/>
        </w:rPr>
        <w:t>ograma prešli u program 1.1.2. Broj pokazatelja se</w:t>
      </w:r>
      <w:r w:rsidRPr="00B02828">
        <w:rPr>
          <w:rFonts w:ascii="Times New Roman" w:hAnsi="Times New Roman" w:cs="Times New Roman"/>
          <w:sz w:val="18"/>
          <w:szCs w:val="18"/>
        </w:rPr>
        <w:t xml:space="preserve"> postepeno smanjivao počevši od 2017. godine i projekcije su korigovane u odnosu na početnu godinu praćenja i izvještavanja.</w:t>
      </w:r>
    </w:p>
  </w:footnote>
  <w:footnote w:id="8">
    <w:p w14:paraId="7CD4059C" w14:textId="074B2008" w:rsidR="0006619F" w:rsidRPr="00B02828" w:rsidRDefault="0006619F" w:rsidP="009F5F1F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B0282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02828">
        <w:rPr>
          <w:rFonts w:ascii="Times New Roman" w:hAnsi="Times New Roman" w:cs="Times New Roman"/>
          <w:sz w:val="18"/>
          <w:szCs w:val="18"/>
        </w:rPr>
        <w:t xml:space="preserve"> Jasnije definisan drugi </w:t>
      </w:r>
      <w:r>
        <w:rPr>
          <w:rFonts w:ascii="Times New Roman" w:hAnsi="Times New Roman" w:cs="Times New Roman"/>
          <w:sz w:val="18"/>
          <w:szCs w:val="18"/>
        </w:rPr>
        <w:t>pokazatelj</w:t>
      </w:r>
      <w:r w:rsidRPr="00B02828">
        <w:rPr>
          <w:rFonts w:ascii="Times New Roman" w:hAnsi="Times New Roman" w:cs="Times New Roman"/>
          <w:sz w:val="18"/>
          <w:szCs w:val="18"/>
        </w:rPr>
        <w:t xml:space="preserve"> i dat broj krivičnih djela koji su izmjereni sa blagom projekcijom rasta u narednim godinama u AP </w:t>
      </w:r>
      <w:r>
        <w:rPr>
          <w:rFonts w:ascii="Times New Roman" w:hAnsi="Times New Roman" w:cs="Times New Roman"/>
          <w:sz w:val="18"/>
          <w:szCs w:val="18"/>
        </w:rPr>
        <w:t xml:space="preserve">za </w:t>
      </w:r>
      <w:r w:rsidRPr="00B02828">
        <w:rPr>
          <w:rFonts w:ascii="Times New Roman" w:hAnsi="Times New Roman" w:cs="Times New Roman"/>
          <w:sz w:val="18"/>
          <w:szCs w:val="18"/>
        </w:rPr>
        <w:t>2017</w:t>
      </w:r>
      <w:r>
        <w:rPr>
          <w:rFonts w:ascii="Times New Roman" w:hAnsi="Times New Roman" w:cs="Times New Roman"/>
          <w:sz w:val="18"/>
          <w:szCs w:val="18"/>
        </w:rPr>
        <w:t>. godinu</w:t>
      </w:r>
      <w:r w:rsidRPr="00B02828">
        <w:rPr>
          <w:rFonts w:ascii="Times New Roman" w:hAnsi="Times New Roman" w:cs="Times New Roman"/>
          <w:sz w:val="18"/>
          <w:szCs w:val="18"/>
        </w:rPr>
        <w:t>.</w:t>
      </w:r>
    </w:p>
  </w:footnote>
  <w:footnote w:id="9">
    <w:p w14:paraId="33A15F81" w14:textId="77777777" w:rsidR="0006619F" w:rsidRPr="00C04964" w:rsidRDefault="0006619F" w:rsidP="009F5F1F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C0496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C04964">
        <w:rPr>
          <w:rFonts w:ascii="Times New Roman" w:hAnsi="Times New Roman" w:cs="Times New Roman"/>
          <w:sz w:val="18"/>
          <w:szCs w:val="18"/>
        </w:rPr>
        <w:t xml:space="preserve"> Većina ciljanih vrijednosti je iznova kalkulisana posmatrano u toku trogodišnjeg perioda pri čemu su iste preciznije i opreznije određene u odnosu na početne projekcije.</w:t>
      </w:r>
    </w:p>
  </w:footnote>
  <w:footnote w:id="10">
    <w:p w14:paraId="68882AFA" w14:textId="1255FAF2" w:rsidR="0006619F" w:rsidRPr="006A7790" w:rsidRDefault="0006619F" w:rsidP="006A7790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6A779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A7790">
        <w:rPr>
          <w:rFonts w:ascii="Times New Roman" w:hAnsi="Times New Roman" w:cs="Times New Roman"/>
          <w:sz w:val="18"/>
          <w:szCs w:val="18"/>
        </w:rPr>
        <w:t xml:space="preserve"> U 2018. godini za ovaj posebni cilj, definisan je jedan program kojeg sačinjavaju dva projekta: „Pružanje međunarodne i međuentitetske pravne pomoći“ i „Ratifikovanje konvencija usklađivanje zakonodavstva i </w:t>
      </w:r>
      <w:r>
        <w:rPr>
          <w:rFonts w:ascii="Times New Roman" w:hAnsi="Times New Roman" w:cs="Times New Roman"/>
          <w:sz w:val="18"/>
          <w:szCs w:val="18"/>
        </w:rPr>
        <w:t>zaključivanje</w:t>
      </w:r>
      <w:r w:rsidRPr="006A7790">
        <w:rPr>
          <w:rFonts w:ascii="Times New Roman" w:hAnsi="Times New Roman" w:cs="Times New Roman"/>
          <w:sz w:val="18"/>
          <w:szCs w:val="18"/>
        </w:rPr>
        <w:t xml:space="preserve"> ugovora“.</w:t>
      </w:r>
    </w:p>
  </w:footnote>
  <w:footnote w:id="11">
    <w:p w14:paraId="1C5AA2D5" w14:textId="0788DEAC" w:rsidR="0006619F" w:rsidRPr="006A7790" w:rsidRDefault="0006619F" w:rsidP="006A7790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6A779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A7790">
        <w:rPr>
          <w:rFonts w:ascii="Times New Roman" w:hAnsi="Times New Roman" w:cs="Times New Roman"/>
          <w:sz w:val="18"/>
          <w:szCs w:val="18"/>
        </w:rPr>
        <w:t xml:space="preserve"> Ciljne vrijednosti su prilagođene od AP-a SPR 2017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6A7790">
        <w:rPr>
          <w:rFonts w:ascii="Times New Roman" w:hAnsi="Times New Roman" w:cs="Times New Roman"/>
          <w:sz w:val="18"/>
          <w:szCs w:val="18"/>
        </w:rPr>
        <w:t xml:space="preserve"> – 2019. godine.</w:t>
      </w:r>
    </w:p>
  </w:footnote>
  <w:footnote w:id="12">
    <w:p w14:paraId="43D84B9F" w14:textId="7BD333CA" w:rsidR="0006619F" w:rsidRPr="004F2C94" w:rsidRDefault="0006619F" w:rsidP="006A7790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4F2C94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4F2C94">
        <w:rPr>
          <w:rFonts w:ascii="Times New Roman" w:hAnsi="Times New Roman" w:cs="Times New Roman"/>
          <w:sz w:val="16"/>
          <w:szCs w:val="16"/>
        </w:rPr>
        <w:t xml:space="preserve"> SPR VM BiH je usvojen sa predmetnom aktivnošću, a koja je izuzeta iz AP SPR MP BiH 2016. – 2018. Godine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4F2C94">
        <w:rPr>
          <w:rFonts w:ascii="Times New Roman" w:hAnsi="Times New Roman" w:cs="Times New Roman"/>
          <w:sz w:val="16"/>
          <w:szCs w:val="16"/>
        </w:rPr>
        <w:t xml:space="preserve"> shodno naknadno utvrđenom riziku na provođenju.</w:t>
      </w:r>
    </w:p>
  </w:footnote>
  <w:footnote w:id="13">
    <w:p w14:paraId="0F74E522" w14:textId="77777777" w:rsidR="0006619F" w:rsidRPr="009B5F93" w:rsidRDefault="0006619F" w:rsidP="009B5F93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9B5F9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9B5F93">
        <w:rPr>
          <w:rFonts w:ascii="Times New Roman" w:hAnsi="Times New Roman" w:cs="Times New Roman"/>
          <w:sz w:val="18"/>
          <w:szCs w:val="18"/>
        </w:rPr>
        <w:t xml:space="preserve"> Skup projekata koji su usklađeni prema potrebi u odnosu na dinamiku provođenja, a na osnovu završetka istih vidljivo se uvode novi projekti.</w:t>
      </w:r>
    </w:p>
  </w:footnote>
  <w:footnote w:id="14">
    <w:p w14:paraId="1697AE84" w14:textId="7E70CB18" w:rsidR="0006619F" w:rsidRPr="009B5F93" w:rsidRDefault="0006619F" w:rsidP="009B5F93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9B5F9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9B5F93">
        <w:rPr>
          <w:rFonts w:ascii="Times New Roman" w:hAnsi="Times New Roman" w:cs="Times New Roman"/>
          <w:sz w:val="18"/>
          <w:szCs w:val="18"/>
        </w:rPr>
        <w:t xml:space="preserve"> Od 2018. godine svi programi uprave postaju jedan program naziva: „Javna uprava i saradnja sa civilnim društvom“. U kontekstu navedenih projekata ovog programa svi postaju jedan projek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9B5F93">
        <w:rPr>
          <w:rFonts w:ascii="Times New Roman" w:hAnsi="Times New Roman" w:cs="Times New Roman"/>
          <w:sz w:val="18"/>
          <w:szCs w:val="18"/>
        </w:rPr>
        <w:t>t i to „Stvaranje pretpostavki za aktivniji angažman civilnog društva“.</w:t>
      </w:r>
    </w:p>
  </w:footnote>
  <w:footnote w:id="15">
    <w:p w14:paraId="64E64D2E" w14:textId="3C93A3A6" w:rsidR="0006619F" w:rsidRPr="00DC0AA0" w:rsidRDefault="0006619F" w:rsidP="009F5F1F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DC0AA0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DC0AA0">
        <w:rPr>
          <w:rFonts w:ascii="Times New Roman" w:hAnsi="Times New Roman" w:cs="Times New Roman"/>
          <w:sz w:val="16"/>
          <w:szCs w:val="16"/>
        </w:rPr>
        <w:t xml:space="preserve"> U toku 2017. godine broj projekata je smanjen na 14, a naredne godine na sedam. Normativno-pravne djelatnosti se definišu detaljno u „Pregledu zakona, drugih propisa i razvojno – investicijskih projekata/programa predviđenih SPR MP BiH za 2018. godinu.</w:t>
      </w:r>
    </w:p>
  </w:footnote>
  <w:footnote w:id="16">
    <w:p w14:paraId="45EA1195" w14:textId="684362C7" w:rsidR="0006619F" w:rsidRPr="00DC0AA0" w:rsidRDefault="0006619F" w:rsidP="009F5F1F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DC0AA0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DC0AA0">
        <w:rPr>
          <w:rFonts w:ascii="Times New Roman" w:hAnsi="Times New Roman" w:cs="Times New Roman"/>
          <w:sz w:val="16"/>
          <w:szCs w:val="16"/>
        </w:rPr>
        <w:t xml:space="preserve"> Projek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DC0AA0">
        <w:rPr>
          <w:rFonts w:ascii="Times New Roman" w:hAnsi="Times New Roman" w:cs="Times New Roman"/>
          <w:sz w:val="16"/>
          <w:szCs w:val="16"/>
        </w:rPr>
        <w:t xml:space="preserve">t je izuzet, aktivnost ostala i prepoznaje se u Prilogu 2. - Pregleda zakona, drugih propisa i razvojno </w:t>
      </w:r>
      <w:r>
        <w:rPr>
          <w:rFonts w:ascii="Times New Roman" w:hAnsi="Times New Roman" w:cs="Times New Roman"/>
          <w:sz w:val="16"/>
          <w:szCs w:val="16"/>
        </w:rPr>
        <w:t>– investicionih</w:t>
      </w:r>
      <w:r w:rsidRPr="00DC0AA0">
        <w:rPr>
          <w:rFonts w:ascii="Times New Roman" w:hAnsi="Times New Roman" w:cs="Times New Roman"/>
          <w:sz w:val="16"/>
          <w:szCs w:val="16"/>
        </w:rPr>
        <w:t xml:space="preserve"> projekata/programa predviđenih SPR MP BiH za 2018. godinu.</w:t>
      </w:r>
    </w:p>
  </w:footnote>
  <w:footnote w:id="17">
    <w:p w14:paraId="6444631D" w14:textId="24A8187A" w:rsidR="0006619F" w:rsidRPr="00DC0AA0" w:rsidRDefault="0006619F" w:rsidP="009F5F1F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DC0AA0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DC0AA0">
        <w:rPr>
          <w:rFonts w:ascii="Times New Roman" w:hAnsi="Times New Roman" w:cs="Times New Roman"/>
          <w:sz w:val="16"/>
          <w:szCs w:val="16"/>
        </w:rPr>
        <w:t xml:space="preserve"> Ibidem.</w:t>
      </w:r>
    </w:p>
  </w:footnote>
  <w:footnote w:id="18">
    <w:p w14:paraId="1915E23A" w14:textId="0D6FF2E7" w:rsidR="0006619F" w:rsidRPr="00DC0AA0" w:rsidRDefault="0006619F" w:rsidP="009F5F1F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DC0AA0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DC0AA0">
        <w:rPr>
          <w:rFonts w:ascii="Times New Roman" w:hAnsi="Times New Roman" w:cs="Times New Roman"/>
          <w:sz w:val="16"/>
          <w:szCs w:val="16"/>
        </w:rPr>
        <w:t xml:space="preserve"> Ibidem.</w:t>
      </w:r>
    </w:p>
  </w:footnote>
  <w:footnote w:id="19">
    <w:p w14:paraId="4436347B" w14:textId="4196A6BA" w:rsidR="0006619F" w:rsidRPr="00DC0AA0" w:rsidRDefault="0006619F" w:rsidP="009F5F1F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DC0AA0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DC0AA0">
        <w:rPr>
          <w:rFonts w:ascii="Times New Roman" w:hAnsi="Times New Roman" w:cs="Times New Roman"/>
          <w:sz w:val="16"/>
          <w:szCs w:val="16"/>
        </w:rPr>
        <w:t xml:space="preserve"> Ibidem.</w:t>
      </w:r>
    </w:p>
  </w:footnote>
  <w:footnote w:id="20">
    <w:p w14:paraId="473C88C6" w14:textId="14F2274E" w:rsidR="0006619F" w:rsidRPr="00DC0AA0" w:rsidRDefault="0006619F" w:rsidP="009F5F1F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DC0AA0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DC0AA0">
        <w:rPr>
          <w:rFonts w:ascii="Times New Roman" w:hAnsi="Times New Roman" w:cs="Times New Roman"/>
          <w:sz w:val="16"/>
          <w:szCs w:val="16"/>
        </w:rPr>
        <w:t xml:space="preserve"> Ibidem.</w:t>
      </w:r>
    </w:p>
  </w:footnote>
  <w:footnote w:id="21">
    <w:p w14:paraId="5856C81B" w14:textId="06F9E502" w:rsidR="0006619F" w:rsidRPr="00DC0AA0" w:rsidRDefault="0006619F" w:rsidP="009F5F1F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DC0AA0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DC0AA0">
        <w:rPr>
          <w:rFonts w:ascii="Times New Roman" w:hAnsi="Times New Roman" w:cs="Times New Roman"/>
          <w:sz w:val="16"/>
          <w:szCs w:val="16"/>
        </w:rPr>
        <w:t xml:space="preserve"> Na osnovu dostupne dokumentacije utvrđuje se da se od projekta i predmetne aktivnosti odustalo shodno potencijalnim rizicima za provođenje.</w:t>
      </w:r>
    </w:p>
  </w:footnote>
  <w:footnote w:id="22">
    <w:p w14:paraId="1837B358" w14:textId="77777777" w:rsidR="0006619F" w:rsidRPr="00591B02" w:rsidRDefault="0006619F" w:rsidP="009F5F1F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591B0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591B02">
        <w:rPr>
          <w:rFonts w:ascii="Times New Roman" w:hAnsi="Times New Roman" w:cs="Times New Roman"/>
          <w:sz w:val="18"/>
          <w:szCs w:val="18"/>
        </w:rPr>
        <w:t xml:space="preserve"> Za predmetni projekat nisu navedeni pokazatelji, kao i pripadajuće  jedinice mjerenja i vrijednost. Radi se o kontinuiranim aktivnostima za koje je otežano odrediti pokazatelj i vrijednosti koje bi doprinosile ostvarenju ciljeva..</w:t>
      </w:r>
    </w:p>
  </w:footnote>
  <w:footnote w:id="23">
    <w:p w14:paraId="3772DED6" w14:textId="0C10606F" w:rsidR="0006619F" w:rsidRPr="00591B02" w:rsidRDefault="0006619F" w:rsidP="009F5F1F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591B0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591B02">
        <w:rPr>
          <w:rFonts w:ascii="Times New Roman" w:hAnsi="Times New Roman" w:cs="Times New Roman"/>
          <w:sz w:val="18"/>
          <w:szCs w:val="18"/>
        </w:rPr>
        <w:t xml:space="preserve"> U 2018. godini svi projekti su zamijenjeni jednim projektom:</w:t>
      </w:r>
      <w:r>
        <w:rPr>
          <w:rFonts w:ascii="Times New Roman" w:hAnsi="Times New Roman" w:cs="Times New Roman"/>
          <w:sz w:val="18"/>
          <w:szCs w:val="18"/>
        </w:rPr>
        <w:t>„Efikasno</w:t>
      </w:r>
      <w:r w:rsidRPr="00591B0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provođenje</w:t>
      </w:r>
      <w:r w:rsidRPr="00591B02">
        <w:rPr>
          <w:rFonts w:ascii="Times New Roman" w:hAnsi="Times New Roman" w:cs="Times New Roman"/>
          <w:sz w:val="18"/>
          <w:szCs w:val="18"/>
        </w:rPr>
        <w:t xml:space="preserve"> inspekcijskoga nadzora“. Iz Programa rada MP BiH se prepoznaje kako se radi o objedinjavanju projekata u </w:t>
      </w:r>
      <w:r>
        <w:rPr>
          <w:rFonts w:ascii="Times New Roman" w:hAnsi="Times New Roman" w:cs="Times New Roman"/>
          <w:sz w:val="18"/>
          <w:szCs w:val="18"/>
        </w:rPr>
        <w:t>širu</w:t>
      </w:r>
      <w:r w:rsidRPr="00591B02">
        <w:rPr>
          <w:rFonts w:ascii="Times New Roman" w:hAnsi="Times New Roman" w:cs="Times New Roman"/>
          <w:sz w:val="18"/>
          <w:szCs w:val="18"/>
        </w:rPr>
        <w:t xml:space="preserve"> cjelinu.</w:t>
      </w:r>
    </w:p>
  </w:footnote>
  <w:footnote w:id="24">
    <w:p w14:paraId="5F1E472A" w14:textId="7DC272E7" w:rsidR="0006619F" w:rsidRPr="00591B02" w:rsidRDefault="0006619F" w:rsidP="009F5F1F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591B0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591B02">
        <w:rPr>
          <w:rFonts w:ascii="Times New Roman" w:hAnsi="Times New Roman" w:cs="Times New Roman"/>
          <w:sz w:val="18"/>
          <w:szCs w:val="18"/>
        </w:rPr>
        <w:t xml:space="preserve"> Projekti koji se odnose na nadležnos</w:t>
      </w:r>
      <w:r>
        <w:rPr>
          <w:rFonts w:ascii="Times New Roman" w:hAnsi="Times New Roman" w:cs="Times New Roman"/>
          <w:sz w:val="18"/>
          <w:szCs w:val="18"/>
        </w:rPr>
        <w:t>t SSPKPEI (1.2.1.4 – 1.2.1.10) s</w:t>
      </w:r>
      <w:r w:rsidRPr="00591B02">
        <w:rPr>
          <w:rFonts w:ascii="Times New Roman" w:hAnsi="Times New Roman" w:cs="Times New Roman"/>
          <w:sz w:val="18"/>
          <w:szCs w:val="18"/>
        </w:rPr>
        <w:t xml:space="preserve">u tokom izrade AP SPR MP BiH za narednu godinu grupirani u jedan projekat i kao takav nastavlja se sa provođenjem. Osim istih Uputstvo MP BiH na izradi SPR-a i AP-a upućen je poziv na okrupnjavanja projekata tamo gdje to bilo moguće. Shodno tome za još dvije organizacione </w:t>
      </w:r>
      <w:r>
        <w:rPr>
          <w:rFonts w:ascii="Times New Roman" w:hAnsi="Times New Roman" w:cs="Times New Roman"/>
          <w:sz w:val="18"/>
          <w:szCs w:val="18"/>
        </w:rPr>
        <w:t>jedinice MP se vršilo grupisanje</w:t>
      </w:r>
      <w:r w:rsidRPr="00591B02">
        <w:rPr>
          <w:rFonts w:ascii="Times New Roman" w:hAnsi="Times New Roman" w:cs="Times New Roman"/>
          <w:sz w:val="18"/>
          <w:szCs w:val="18"/>
        </w:rPr>
        <w:t xml:space="preserve"> projekata koji su uvršteni u SPR MP BiH za 2018. – 2020. godinu.</w:t>
      </w:r>
    </w:p>
  </w:footnote>
  <w:footnote w:id="25">
    <w:p w14:paraId="2BDFECBA" w14:textId="77777777" w:rsidR="0006619F" w:rsidRPr="00591B02" w:rsidRDefault="0006619F" w:rsidP="009F5F1F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591B0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591B02">
        <w:rPr>
          <w:rFonts w:ascii="Times New Roman" w:hAnsi="Times New Roman" w:cs="Times New Roman"/>
          <w:sz w:val="18"/>
          <w:szCs w:val="18"/>
        </w:rPr>
        <w:t xml:space="preserve"> Uvidom u AP SPR 2016.– 2018. godine projekti su nešto drugačije označeni u odnosu na sam dokument SPR-a tako da se isti u AP-u pojavljuju na drugačijim mjestima.</w:t>
      </w:r>
    </w:p>
  </w:footnote>
  <w:footnote w:id="26">
    <w:p w14:paraId="2DC3E907" w14:textId="77777777" w:rsidR="0006619F" w:rsidRPr="00591B02" w:rsidRDefault="0006619F" w:rsidP="009F5F1F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591B0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591B02">
        <w:rPr>
          <w:rFonts w:ascii="Times New Roman" w:hAnsi="Times New Roman" w:cs="Times New Roman"/>
          <w:sz w:val="18"/>
          <w:szCs w:val="18"/>
        </w:rPr>
        <w:t>U prvobitnom SPR 2016. – 2018. godine pojavljuju se sve aktivnosti administriranja. Međutim, daljim uputama MFT da isti nisu dijelom razvojnih aktivnosti, već da trebaju biti dijelom svih projekata po preporuci raspodijeljeni po svim programima i projektima, a kao i zahtjevima procesa unapređenju srednjoročnoga planiranja, taj dio je u ažuriranim SPR-ovima i raspodijeljen. Za ovaj program broj projekata u narednoj godini je smanjen na 12.</w:t>
      </w:r>
    </w:p>
  </w:footnote>
  <w:footnote w:id="27">
    <w:p w14:paraId="38C1F859" w14:textId="77777777" w:rsidR="0006619F" w:rsidRPr="00662B88" w:rsidRDefault="0006619F" w:rsidP="009F5F1F">
      <w:pPr>
        <w:spacing w:after="0"/>
        <w:suppressOverlap/>
        <w:jc w:val="both"/>
        <w:rPr>
          <w:rFonts w:ascii="Arial Narrow" w:hAnsi="Arial Narrow"/>
          <w:i/>
          <w:sz w:val="2"/>
          <w:szCs w:val="2"/>
        </w:rPr>
      </w:pPr>
    </w:p>
  </w:footnote>
  <w:footnote w:id="28">
    <w:p w14:paraId="0C1FFE5C" w14:textId="59A9892B" w:rsidR="0006619F" w:rsidRPr="008972B8" w:rsidRDefault="0006619F" w:rsidP="009F5F1F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8972B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8972B8">
        <w:rPr>
          <w:rFonts w:ascii="Times New Roman" w:hAnsi="Times New Roman" w:cs="Times New Roman"/>
          <w:sz w:val="16"/>
          <w:szCs w:val="16"/>
        </w:rPr>
        <w:t xml:space="preserve"> U 2018. godini program postaje projekat „Efikasna koordinacija provođenja strateškog okvira reforme javne uprave, pravde i poslova EU integracija u sektoru pravde i uprave u BiH“ i prelazi pod program „Javna uprava i saradnja s civilnim društvom“.</w:t>
      </w:r>
    </w:p>
  </w:footnote>
  <w:footnote w:id="29">
    <w:p w14:paraId="052BAC7A" w14:textId="1C7ED8A3" w:rsidR="0006619F" w:rsidRPr="008972B8" w:rsidRDefault="0006619F" w:rsidP="009F5F1F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8972B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8972B8">
        <w:rPr>
          <w:rFonts w:ascii="Times New Roman" w:hAnsi="Times New Roman" w:cs="Times New Roman"/>
          <w:sz w:val="16"/>
          <w:szCs w:val="16"/>
        </w:rPr>
        <w:t xml:space="preserve"> U samom dokumentu AP SPR MP BiH 2016. – 2018. godine nalazi se dodatan broj aktivnosti koji nisu pobrojani u dokumentu SPR-a </w:t>
      </w:r>
      <w:r>
        <w:rPr>
          <w:rFonts w:ascii="Times New Roman" w:hAnsi="Times New Roman" w:cs="Times New Roman"/>
          <w:sz w:val="16"/>
          <w:szCs w:val="16"/>
        </w:rPr>
        <w:t xml:space="preserve"> MP BiH</w:t>
      </w:r>
      <w:r w:rsidRPr="008972B8">
        <w:rPr>
          <w:rFonts w:ascii="Times New Roman" w:hAnsi="Times New Roman" w:cs="Times New Roman"/>
          <w:sz w:val="16"/>
          <w:szCs w:val="16"/>
        </w:rPr>
        <w:t>, te je tako program 2.3.2. EU integracije u sektoru pravde u BiH dalje razrađen, a koji od 2018. godine postaje projekat: „Efikasna koordinacija provođenja strateškog okvira reforme javne uprave, pravde i poslova EU integracija u sektoru pravde i uprave u BiH“.</w:t>
      </w:r>
    </w:p>
  </w:footnote>
  <w:footnote w:id="30">
    <w:p w14:paraId="55B9850D" w14:textId="6779E001" w:rsidR="0006619F" w:rsidRPr="008972B8" w:rsidRDefault="0006619F" w:rsidP="009F5F1F">
      <w:pPr>
        <w:pStyle w:val="CommentText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972B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8972B8">
        <w:rPr>
          <w:rFonts w:ascii="Times New Roman" w:hAnsi="Times New Roman" w:cs="Times New Roman"/>
          <w:sz w:val="16"/>
          <w:szCs w:val="16"/>
        </w:rPr>
        <w:t xml:space="preserve"> U toku provođenja, praćenja i izrade novog AP SPR MP BiH za 2017. godinu dodana su još tri projekta u sklopu ovog programa.</w:t>
      </w:r>
    </w:p>
  </w:footnote>
  <w:footnote w:id="31">
    <w:p w14:paraId="1CBC3074" w14:textId="656C911C" w:rsidR="0006619F" w:rsidRPr="008972B8" w:rsidRDefault="0006619F" w:rsidP="009F5F1F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8972B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8972B8">
        <w:rPr>
          <w:rFonts w:ascii="Times New Roman" w:hAnsi="Times New Roman" w:cs="Times New Roman"/>
          <w:sz w:val="16"/>
          <w:szCs w:val="16"/>
        </w:rPr>
        <w:t xml:space="preserve"> 2017. godine 2.3.3.2, 2.3.3.3, 2.3.3.4 – se spajaju u jedan projekat 2.3.3.2 Praćenje i procjena efikasnosti donatorske pomoći u sektoru pravde u BiH, a u 2018. godini prelazi u projekat IBIH-MPR-24 „Uspostavljanje donatorske koordinacije u sektoru pravde u BiH“ u </w:t>
      </w:r>
      <w:r>
        <w:rPr>
          <w:rFonts w:ascii="Times New Roman" w:hAnsi="Times New Roman" w:cs="Times New Roman"/>
          <w:sz w:val="16"/>
          <w:szCs w:val="16"/>
        </w:rPr>
        <w:t>okviru</w:t>
      </w:r>
      <w:r w:rsidRPr="008972B8">
        <w:rPr>
          <w:rFonts w:ascii="Times New Roman" w:hAnsi="Times New Roman" w:cs="Times New Roman"/>
          <w:sz w:val="16"/>
          <w:szCs w:val="16"/>
        </w:rPr>
        <w:t xml:space="preserve"> programa „Normativna djelatnost, sprovođenje i praćenje propisa iz oblasti pravosuđa“.</w:t>
      </w:r>
    </w:p>
  </w:footnote>
  <w:footnote w:id="32">
    <w:p w14:paraId="654A86C5" w14:textId="77777777" w:rsidR="0006619F" w:rsidRPr="008972B8" w:rsidRDefault="0006619F" w:rsidP="009F5F1F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8972B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8972B8">
        <w:rPr>
          <w:rFonts w:ascii="Times New Roman" w:hAnsi="Times New Roman" w:cs="Times New Roman"/>
          <w:sz w:val="16"/>
          <w:szCs w:val="16"/>
        </w:rPr>
        <w:t xml:space="preserve"> Od ove aktivnosti se u međuvremenu odustalo s obzirom na prilike.</w:t>
      </w:r>
    </w:p>
  </w:footnote>
  <w:footnote w:id="33">
    <w:p w14:paraId="4739D2C6" w14:textId="77777777" w:rsidR="0006619F" w:rsidRPr="008972B8" w:rsidRDefault="0006619F" w:rsidP="009F5F1F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8972B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8972B8">
        <w:rPr>
          <w:rFonts w:ascii="Times New Roman" w:hAnsi="Times New Roman" w:cs="Times New Roman"/>
          <w:sz w:val="16"/>
          <w:szCs w:val="16"/>
        </w:rPr>
        <w:t xml:space="preserve"> Program 2018. godine postaje projekat „Jačanje upravljanja registracijom zaloga“.</w:t>
      </w:r>
    </w:p>
  </w:footnote>
  <w:footnote w:id="34">
    <w:p w14:paraId="35E1B50D" w14:textId="77777777" w:rsidR="0006619F" w:rsidRPr="006D799B" w:rsidRDefault="0006619F" w:rsidP="006D799B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6D799B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D799B">
        <w:rPr>
          <w:rFonts w:ascii="Times New Roman" w:hAnsi="Times New Roman" w:cs="Times New Roman"/>
          <w:sz w:val="18"/>
          <w:szCs w:val="18"/>
        </w:rPr>
        <w:t xml:space="preserve"> Indeks vladavine prava za BiH je preuzet iz dokumenta World Justice Project – Rule of Law Index. Isti mjeri različite segmente prava.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01" w:type="dxa"/>
      <w:jc w:val="center"/>
      <w:tblLook w:val="0000" w:firstRow="0" w:lastRow="0" w:firstColumn="0" w:lastColumn="0" w:noHBand="0" w:noVBand="0"/>
    </w:tblPr>
    <w:tblGrid>
      <w:gridCol w:w="3024"/>
      <w:gridCol w:w="1859"/>
      <w:gridCol w:w="3518"/>
    </w:tblGrid>
    <w:tr w:rsidR="0006619F" w:rsidRPr="00C46FE6" w14:paraId="2002B140" w14:textId="77777777" w:rsidTr="00C77FF0">
      <w:trPr>
        <w:cantSplit/>
        <w:trHeight w:val="488"/>
        <w:jc w:val="center"/>
      </w:trPr>
      <w:tc>
        <w:tcPr>
          <w:tcW w:w="3024" w:type="dxa"/>
        </w:tcPr>
        <w:p w14:paraId="67C0C651" w14:textId="77777777" w:rsidR="0006619F" w:rsidRPr="00C46FE6" w:rsidRDefault="0006619F" w:rsidP="00B932E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4"/>
              <w:szCs w:val="24"/>
              <w:lang w:val="sr-Cyrl-BA" w:eastAsia="hr-HR"/>
            </w:rPr>
          </w:pPr>
        </w:p>
        <w:p w14:paraId="1D5DE15F" w14:textId="77777777" w:rsidR="0006619F" w:rsidRPr="00C46FE6" w:rsidRDefault="0006619F" w:rsidP="00B932E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4"/>
              <w:szCs w:val="24"/>
              <w:lang w:val="sr-Cyrl-BA" w:eastAsia="hr-HR"/>
            </w:rPr>
          </w:pPr>
          <w:r w:rsidRPr="00C46FE6">
            <w:rPr>
              <w:rFonts w:ascii="Times New Roman" w:eastAsia="Times New Roman" w:hAnsi="Times New Roman" w:cs="Times New Roman"/>
              <w:iCs/>
              <w:sz w:val="24"/>
              <w:szCs w:val="24"/>
              <w:lang w:val="sr-Cyrl-BA" w:eastAsia="hr-HR"/>
            </w:rPr>
            <w:t>Bosna i Hercegovina</w:t>
          </w:r>
        </w:p>
      </w:tc>
      <w:tc>
        <w:tcPr>
          <w:tcW w:w="1859" w:type="dxa"/>
          <w:vMerge w:val="restart"/>
          <w:tcBorders>
            <w:bottom w:val="single" w:sz="4" w:space="0" w:color="auto"/>
          </w:tcBorders>
        </w:tcPr>
        <w:p w14:paraId="0DFAE634" w14:textId="77777777" w:rsidR="0006619F" w:rsidRPr="00C46FE6" w:rsidRDefault="0006619F" w:rsidP="00B932E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sr-Cyrl-BA" w:eastAsia="hr-HR"/>
            </w:rPr>
          </w:pPr>
          <w:r w:rsidRPr="00C46FE6">
            <w:rPr>
              <w:rFonts w:ascii="Helvetica" w:eastAsia="Times New Roman" w:hAnsi="Helvetica" w:cs="Helvetica"/>
              <w:noProof/>
              <w:color w:val="333333"/>
              <w:sz w:val="21"/>
              <w:szCs w:val="21"/>
              <w:lang w:eastAsia="bs-Latn-BA"/>
            </w:rPr>
            <w:t xml:space="preserve">  </w:t>
          </w:r>
          <w:r w:rsidRPr="00C46FE6">
            <w:rPr>
              <w:rFonts w:ascii="Helvetica" w:eastAsia="Times New Roman" w:hAnsi="Helvetica" w:cs="Helvetica"/>
              <w:noProof/>
              <w:color w:val="333333"/>
              <w:sz w:val="21"/>
              <w:szCs w:val="21"/>
              <w:lang w:eastAsia="bs-Latn-BA"/>
            </w:rPr>
            <w:drawing>
              <wp:inline distT="0" distB="0" distL="0" distR="0" wp14:anchorId="5D1CB38E" wp14:editId="31212F05">
                <wp:extent cx="523875" cy="571500"/>
                <wp:effectExtent l="0" t="0" r="9525" b="0"/>
                <wp:docPr id="2" name="Picture 2" descr="data:image/png;base64,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ata:image/png;base64,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8" w:type="dxa"/>
        </w:tcPr>
        <w:p w14:paraId="308D56CC" w14:textId="77777777" w:rsidR="0006619F" w:rsidRPr="00C46FE6" w:rsidRDefault="0006619F" w:rsidP="00B932E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4"/>
              <w:szCs w:val="24"/>
              <w:lang w:val="hr-HR" w:eastAsia="hr-HR"/>
            </w:rPr>
          </w:pPr>
        </w:p>
        <w:p w14:paraId="3AC605D2" w14:textId="77777777" w:rsidR="0006619F" w:rsidRPr="00C46FE6" w:rsidRDefault="0006619F" w:rsidP="00B932E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4"/>
              <w:szCs w:val="24"/>
              <w:lang w:val="sr-Cyrl-CS" w:eastAsia="hr-HR"/>
            </w:rPr>
          </w:pPr>
          <w:r w:rsidRPr="00C46FE6">
            <w:rPr>
              <w:rFonts w:ascii="Times New Roman" w:eastAsia="Times New Roman" w:hAnsi="Times New Roman" w:cs="Times New Roman"/>
              <w:iCs/>
              <w:sz w:val="24"/>
              <w:szCs w:val="24"/>
              <w:lang w:val="sr-Cyrl-CS" w:eastAsia="hr-HR"/>
            </w:rPr>
            <w:t>Босна и Херцеговина</w:t>
          </w:r>
        </w:p>
      </w:tc>
    </w:tr>
    <w:tr w:rsidR="0006619F" w:rsidRPr="00C46FE6" w14:paraId="182D5AF1" w14:textId="77777777" w:rsidTr="00C77FF0">
      <w:trPr>
        <w:cantSplit/>
        <w:trHeight w:val="577"/>
        <w:jc w:val="center"/>
      </w:trPr>
      <w:tc>
        <w:tcPr>
          <w:tcW w:w="3024" w:type="dxa"/>
          <w:tcBorders>
            <w:bottom w:val="single" w:sz="4" w:space="0" w:color="auto"/>
          </w:tcBorders>
        </w:tcPr>
        <w:p w14:paraId="427B606B" w14:textId="77777777" w:rsidR="0006619F" w:rsidRPr="00C46FE6" w:rsidRDefault="0006619F" w:rsidP="00B932E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4"/>
              <w:szCs w:val="24"/>
              <w:lang w:val="sr-Cyrl-BA" w:eastAsia="hr-HR"/>
            </w:rPr>
          </w:pPr>
          <w:r w:rsidRPr="00C46FE6">
            <w:rPr>
              <w:rFonts w:ascii="Times New Roman" w:eastAsia="Times New Roman" w:hAnsi="Times New Roman" w:cs="Times New Roman"/>
              <w:iCs/>
              <w:sz w:val="24"/>
              <w:szCs w:val="24"/>
              <w:lang w:val="sr-Cyrl-BA" w:eastAsia="hr-HR"/>
            </w:rPr>
            <w:t>MINISTARSTVO PRAVDE</w:t>
          </w:r>
        </w:p>
      </w:tc>
      <w:tc>
        <w:tcPr>
          <w:tcW w:w="1859" w:type="dxa"/>
          <w:vMerge/>
          <w:tcBorders>
            <w:bottom w:val="single" w:sz="4" w:space="0" w:color="auto"/>
          </w:tcBorders>
        </w:tcPr>
        <w:p w14:paraId="797E50C6" w14:textId="77777777" w:rsidR="0006619F" w:rsidRPr="00C46FE6" w:rsidRDefault="0006619F" w:rsidP="00B932E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sr-Cyrl-BA" w:eastAsia="hr-HR"/>
            </w:rPr>
          </w:pPr>
        </w:p>
      </w:tc>
      <w:tc>
        <w:tcPr>
          <w:tcW w:w="3518" w:type="dxa"/>
          <w:tcBorders>
            <w:bottom w:val="single" w:sz="4" w:space="0" w:color="auto"/>
          </w:tcBorders>
        </w:tcPr>
        <w:p w14:paraId="3D637337" w14:textId="77777777" w:rsidR="0006619F" w:rsidRPr="00C46FE6" w:rsidRDefault="0006619F" w:rsidP="00B932E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Cs/>
              <w:sz w:val="24"/>
              <w:szCs w:val="24"/>
              <w:lang w:val="sr-Cyrl-CS" w:eastAsia="hr-HR"/>
            </w:rPr>
          </w:pPr>
          <w:r w:rsidRPr="00C46FE6">
            <w:rPr>
              <w:rFonts w:ascii="Times New Roman" w:eastAsia="Times New Roman" w:hAnsi="Times New Roman" w:cs="Times New Roman"/>
              <w:iCs/>
              <w:sz w:val="24"/>
              <w:szCs w:val="24"/>
              <w:lang w:val="sr-Cyrl-CS" w:eastAsia="hr-HR"/>
            </w:rPr>
            <w:t>МИНИСТАРСТВО ПРАВДЕ</w:t>
          </w:r>
        </w:p>
      </w:tc>
    </w:tr>
  </w:tbl>
  <w:p w14:paraId="7B04FA47" w14:textId="77777777" w:rsidR="0006619F" w:rsidRDefault="000661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1C9D5" w14:textId="77777777" w:rsidR="0006619F" w:rsidRDefault="000661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123B1" w14:textId="77777777" w:rsidR="0006619F" w:rsidRPr="00441974" w:rsidRDefault="0006619F" w:rsidP="00441974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4193"/>
    <w:multiLevelType w:val="hybridMultilevel"/>
    <w:tmpl w:val="EA30B32E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7373F"/>
    <w:multiLevelType w:val="hybridMultilevel"/>
    <w:tmpl w:val="A62C6410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0F3F0F4F"/>
    <w:multiLevelType w:val="hybridMultilevel"/>
    <w:tmpl w:val="B9962A2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7B6BE5"/>
    <w:multiLevelType w:val="hybridMultilevel"/>
    <w:tmpl w:val="97AAD4AA"/>
    <w:lvl w:ilvl="0" w:tplc="E83CD4B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20502"/>
    <w:multiLevelType w:val="hybridMultilevel"/>
    <w:tmpl w:val="AC3ABCA8"/>
    <w:lvl w:ilvl="0" w:tplc="141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19B61B28"/>
    <w:multiLevelType w:val="multilevel"/>
    <w:tmpl w:val="06B6E6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6" w15:restartNumberingAfterBreak="0">
    <w:nsid w:val="20242F89"/>
    <w:multiLevelType w:val="hybridMultilevel"/>
    <w:tmpl w:val="CBE6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C3B"/>
    <w:multiLevelType w:val="hybridMultilevel"/>
    <w:tmpl w:val="170C7136"/>
    <w:lvl w:ilvl="0" w:tplc="A9F0D31C">
      <w:numFmt w:val="bullet"/>
      <w:lvlText w:val="-"/>
      <w:lvlJc w:val="left"/>
      <w:pPr>
        <w:ind w:left="-351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8" w15:restartNumberingAfterBreak="0">
    <w:nsid w:val="278C6E57"/>
    <w:multiLevelType w:val="hybridMultilevel"/>
    <w:tmpl w:val="F6FE069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27449"/>
    <w:multiLevelType w:val="hybridMultilevel"/>
    <w:tmpl w:val="CA84CE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80942"/>
    <w:multiLevelType w:val="hybridMultilevel"/>
    <w:tmpl w:val="1A86C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B60B3"/>
    <w:multiLevelType w:val="hybridMultilevel"/>
    <w:tmpl w:val="09AA4008"/>
    <w:lvl w:ilvl="0" w:tplc="B0400138">
      <w:start w:val="27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1A534F"/>
    <w:multiLevelType w:val="hybridMultilevel"/>
    <w:tmpl w:val="847044BC"/>
    <w:lvl w:ilvl="0" w:tplc="BAA4E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7E5790"/>
    <w:multiLevelType w:val="hybridMultilevel"/>
    <w:tmpl w:val="E12E5A0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48D95E73"/>
    <w:multiLevelType w:val="hybridMultilevel"/>
    <w:tmpl w:val="03DA323E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0D09CB"/>
    <w:multiLevelType w:val="hybridMultilevel"/>
    <w:tmpl w:val="D892E9F6"/>
    <w:lvl w:ilvl="0" w:tplc="141A0011">
      <w:start w:val="1"/>
      <w:numFmt w:val="decimal"/>
      <w:lvlText w:val="%1)"/>
      <w:lvlJc w:val="left"/>
      <w:pPr>
        <w:ind w:left="-351" w:hanging="360"/>
      </w:pPr>
    </w:lvl>
    <w:lvl w:ilvl="1" w:tplc="141A0019" w:tentative="1">
      <w:start w:val="1"/>
      <w:numFmt w:val="lowerLetter"/>
      <w:lvlText w:val="%2."/>
      <w:lvlJc w:val="left"/>
      <w:pPr>
        <w:ind w:left="369" w:hanging="360"/>
      </w:pPr>
    </w:lvl>
    <w:lvl w:ilvl="2" w:tplc="141A001B" w:tentative="1">
      <w:start w:val="1"/>
      <w:numFmt w:val="lowerRoman"/>
      <w:lvlText w:val="%3."/>
      <w:lvlJc w:val="right"/>
      <w:pPr>
        <w:ind w:left="1089" w:hanging="180"/>
      </w:pPr>
    </w:lvl>
    <w:lvl w:ilvl="3" w:tplc="141A000F" w:tentative="1">
      <w:start w:val="1"/>
      <w:numFmt w:val="decimal"/>
      <w:lvlText w:val="%4."/>
      <w:lvlJc w:val="left"/>
      <w:pPr>
        <w:ind w:left="1809" w:hanging="360"/>
      </w:pPr>
    </w:lvl>
    <w:lvl w:ilvl="4" w:tplc="141A0019" w:tentative="1">
      <w:start w:val="1"/>
      <w:numFmt w:val="lowerLetter"/>
      <w:lvlText w:val="%5."/>
      <w:lvlJc w:val="left"/>
      <w:pPr>
        <w:ind w:left="2529" w:hanging="360"/>
      </w:pPr>
    </w:lvl>
    <w:lvl w:ilvl="5" w:tplc="141A001B" w:tentative="1">
      <w:start w:val="1"/>
      <w:numFmt w:val="lowerRoman"/>
      <w:lvlText w:val="%6."/>
      <w:lvlJc w:val="right"/>
      <w:pPr>
        <w:ind w:left="3249" w:hanging="180"/>
      </w:pPr>
    </w:lvl>
    <w:lvl w:ilvl="6" w:tplc="141A000F" w:tentative="1">
      <w:start w:val="1"/>
      <w:numFmt w:val="decimal"/>
      <w:lvlText w:val="%7."/>
      <w:lvlJc w:val="left"/>
      <w:pPr>
        <w:ind w:left="3969" w:hanging="360"/>
      </w:pPr>
    </w:lvl>
    <w:lvl w:ilvl="7" w:tplc="141A0019" w:tentative="1">
      <w:start w:val="1"/>
      <w:numFmt w:val="lowerLetter"/>
      <w:lvlText w:val="%8."/>
      <w:lvlJc w:val="left"/>
      <w:pPr>
        <w:ind w:left="4689" w:hanging="360"/>
      </w:pPr>
    </w:lvl>
    <w:lvl w:ilvl="8" w:tplc="141A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6" w15:restartNumberingAfterBreak="0">
    <w:nsid w:val="5B6E654F"/>
    <w:multiLevelType w:val="hybridMultilevel"/>
    <w:tmpl w:val="CDB426BE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337882"/>
    <w:multiLevelType w:val="hybridMultilevel"/>
    <w:tmpl w:val="3CAAC44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62E55"/>
    <w:multiLevelType w:val="hybridMultilevel"/>
    <w:tmpl w:val="7B5AC0D2"/>
    <w:lvl w:ilvl="0" w:tplc="A8A67FE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84A9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B452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83C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8D9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8AC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843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5256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E2A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C52AE8"/>
    <w:multiLevelType w:val="hybridMultilevel"/>
    <w:tmpl w:val="A37C3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1223F"/>
    <w:multiLevelType w:val="hybridMultilevel"/>
    <w:tmpl w:val="E12870DA"/>
    <w:lvl w:ilvl="0" w:tplc="141A0011">
      <w:start w:val="1"/>
      <w:numFmt w:val="decimal"/>
      <w:lvlText w:val="%1)"/>
      <w:lvlJc w:val="left"/>
      <w:pPr>
        <w:ind w:left="1778" w:hanging="360"/>
      </w:pPr>
    </w:lvl>
    <w:lvl w:ilvl="1" w:tplc="141A0019" w:tentative="1">
      <w:start w:val="1"/>
      <w:numFmt w:val="lowerLetter"/>
      <w:lvlText w:val="%2."/>
      <w:lvlJc w:val="left"/>
      <w:pPr>
        <w:ind w:left="2498" w:hanging="360"/>
      </w:pPr>
    </w:lvl>
    <w:lvl w:ilvl="2" w:tplc="141A001B" w:tentative="1">
      <w:start w:val="1"/>
      <w:numFmt w:val="lowerRoman"/>
      <w:lvlText w:val="%3."/>
      <w:lvlJc w:val="right"/>
      <w:pPr>
        <w:ind w:left="3218" w:hanging="180"/>
      </w:pPr>
    </w:lvl>
    <w:lvl w:ilvl="3" w:tplc="141A000F" w:tentative="1">
      <w:start w:val="1"/>
      <w:numFmt w:val="decimal"/>
      <w:lvlText w:val="%4."/>
      <w:lvlJc w:val="left"/>
      <w:pPr>
        <w:ind w:left="3938" w:hanging="360"/>
      </w:pPr>
    </w:lvl>
    <w:lvl w:ilvl="4" w:tplc="141A0019" w:tentative="1">
      <w:start w:val="1"/>
      <w:numFmt w:val="lowerLetter"/>
      <w:lvlText w:val="%5."/>
      <w:lvlJc w:val="left"/>
      <w:pPr>
        <w:ind w:left="4658" w:hanging="360"/>
      </w:pPr>
    </w:lvl>
    <w:lvl w:ilvl="5" w:tplc="141A001B" w:tentative="1">
      <w:start w:val="1"/>
      <w:numFmt w:val="lowerRoman"/>
      <w:lvlText w:val="%6."/>
      <w:lvlJc w:val="right"/>
      <w:pPr>
        <w:ind w:left="5378" w:hanging="180"/>
      </w:pPr>
    </w:lvl>
    <w:lvl w:ilvl="6" w:tplc="141A000F" w:tentative="1">
      <w:start w:val="1"/>
      <w:numFmt w:val="decimal"/>
      <w:lvlText w:val="%7."/>
      <w:lvlJc w:val="left"/>
      <w:pPr>
        <w:ind w:left="6098" w:hanging="360"/>
      </w:pPr>
    </w:lvl>
    <w:lvl w:ilvl="7" w:tplc="141A0019" w:tentative="1">
      <w:start w:val="1"/>
      <w:numFmt w:val="lowerLetter"/>
      <w:lvlText w:val="%8."/>
      <w:lvlJc w:val="left"/>
      <w:pPr>
        <w:ind w:left="6818" w:hanging="360"/>
      </w:pPr>
    </w:lvl>
    <w:lvl w:ilvl="8" w:tplc="1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F705EED"/>
    <w:multiLevelType w:val="hybridMultilevel"/>
    <w:tmpl w:val="0AD857AE"/>
    <w:lvl w:ilvl="0" w:tplc="A9F0D31C">
      <w:numFmt w:val="bullet"/>
      <w:lvlText w:val="-"/>
      <w:lvlJc w:val="left"/>
      <w:pPr>
        <w:ind w:left="6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2" w15:restartNumberingAfterBreak="0">
    <w:nsid w:val="715D43AF"/>
    <w:multiLevelType w:val="hybridMultilevel"/>
    <w:tmpl w:val="44FCFC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9C37A8"/>
    <w:multiLevelType w:val="multilevel"/>
    <w:tmpl w:val="D48818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2A59A9"/>
    <w:multiLevelType w:val="multilevel"/>
    <w:tmpl w:val="06B6E6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25" w15:restartNumberingAfterBreak="0">
    <w:nsid w:val="7A614009"/>
    <w:multiLevelType w:val="hybridMultilevel"/>
    <w:tmpl w:val="BCC096E0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787767"/>
    <w:multiLevelType w:val="hybridMultilevel"/>
    <w:tmpl w:val="6032B780"/>
    <w:lvl w:ilvl="0" w:tplc="A9F0D31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1"/>
  </w:num>
  <w:num w:numId="4">
    <w:abstractNumId w:val="18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  <w:num w:numId="11">
    <w:abstractNumId w:val="13"/>
  </w:num>
  <w:num w:numId="12">
    <w:abstractNumId w:val="19"/>
  </w:num>
  <w:num w:numId="13">
    <w:abstractNumId w:val="6"/>
  </w:num>
  <w:num w:numId="14">
    <w:abstractNumId w:val="24"/>
  </w:num>
  <w:num w:numId="15">
    <w:abstractNumId w:val="5"/>
  </w:num>
  <w:num w:numId="16">
    <w:abstractNumId w:val="10"/>
  </w:num>
  <w:num w:numId="17">
    <w:abstractNumId w:val="4"/>
  </w:num>
  <w:num w:numId="18">
    <w:abstractNumId w:val="17"/>
  </w:num>
  <w:num w:numId="19">
    <w:abstractNumId w:val="23"/>
  </w:num>
  <w:num w:numId="20">
    <w:abstractNumId w:val="11"/>
  </w:num>
  <w:num w:numId="21">
    <w:abstractNumId w:val="14"/>
  </w:num>
  <w:num w:numId="22">
    <w:abstractNumId w:val="8"/>
  </w:num>
  <w:num w:numId="23">
    <w:abstractNumId w:val="12"/>
  </w:num>
  <w:num w:numId="24">
    <w:abstractNumId w:val="16"/>
  </w:num>
  <w:num w:numId="25">
    <w:abstractNumId w:val="15"/>
  </w:num>
  <w:num w:numId="26">
    <w:abstractNumId w:val="2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AB"/>
    <w:rsid w:val="00004C6D"/>
    <w:rsid w:val="0000583A"/>
    <w:rsid w:val="0001177B"/>
    <w:rsid w:val="00012F5E"/>
    <w:rsid w:val="00017569"/>
    <w:rsid w:val="00017794"/>
    <w:rsid w:val="00024CBC"/>
    <w:rsid w:val="00026CA8"/>
    <w:rsid w:val="0003364C"/>
    <w:rsid w:val="00034C3C"/>
    <w:rsid w:val="0004549D"/>
    <w:rsid w:val="00060A02"/>
    <w:rsid w:val="00062B86"/>
    <w:rsid w:val="0006619F"/>
    <w:rsid w:val="00074D18"/>
    <w:rsid w:val="00080DDB"/>
    <w:rsid w:val="00083984"/>
    <w:rsid w:val="00091695"/>
    <w:rsid w:val="000963C4"/>
    <w:rsid w:val="00096838"/>
    <w:rsid w:val="000A49E7"/>
    <w:rsid w:val="000A62E4"/>
    <w:rsid w:val="000B4E2A"/>
    <w:rsid w:val="000B7EC9"/>
    <w:rsid w:val="000C2561"/>
    <w:rsid w:val="000C4A9F"/>
    <w:rsid w:val="000D63EA"/>
    <w:rsid w:val="000E3DDB"/>
    <w:rsid w:val="000E726A"/>
    <w:rsid w:val="001101F3"/>
    <w:rsid w:val="00114226"/>
    <w:rsid w:val="00144CC6"/>
    <w:rsid w:val="001454B7"/>
    <w:rsid w:val="00147C2B"/>
    <w:rsid w:val="00150641"/>
    <w:rsid w:val="00161EC7"/>
    <w:rsid w:val="00163DAD"/>
    <w:rsid w:val="001765D1"/>
    <w:rsid w:val="00183042"/>
    <w:rsid w:val="00190F28"/>
    <w:rsid w:val="001914C9"/>
    <w:rsid w:val="001A14D2"/>
    <w:rsid w:val="001A7ABE"/>
    <w:rsid w:val="001B20A1"/>
    <w:rsid w:val="001B388F"/>
    <w:rsid w:val="001C7D9C"/>
    <w:rsid w:val="001D2CE0"/>
    <w:rsid w:val="001D63FE"/>
    <w:rsid w:val="001E2107"/>
    <w:rsid w:val="002006B2"/>
    <w:rsid w:val="00210CE4"/>
    <w:rsid w:val="002132F6"/>
    <w:rsid w:val="00220364"/>
    <w:rsid w:val="0022338A"/>
    <w:rsid w:val="002237D3"/>
    <w:rsid w:val="00224E5A"/>
    <w:rsid w:val="0022533C"/>
    <w:rsid w:val="00230F08"/>
    <w:rsid w:val="00232F97"/>
    <w:rsid w:val="00234FDC"/>
    <w:rsid w:val="002362C9"/>
    <w:rsid w:val="00242373"/>
    <w:rsid w:val="00246DC5"/>
    <w:rsid w:val="002477C5"/>
    <w:rsid w:val="00257FF0"/>
    <w:rsid w:val="0026242E"/>
    <w:rsid w:val="00266877"/>
    <w:rsid w:val="00271B5F"/>
    <w:rsid w:val="00276FA8"/>
    <w:rsid w:val="002A34A4"/>
    <w:rsid w:val="002A5A86"/>
    <w:rsid w:val="002B0F8D"/>
    <w:rsid w:val="002B35C2"/>
    <w:rsid w:val="002C2C11"/>
    <w:rsid w:val="002C2CE9"/>
    <w:rsid w:val="002D0C30"/>
    <w:rsid w:val="002D60DA"/>
    <w:rsid w:val="002D76FB"/>
    <w:rsid w:val="002E0E38"/>
    <w:rsid w:val="002E2A21"/>
    <w:rsid w:val="002E33E5"/>
    <w:rsid w:val="002E3EF5"/>
    <w:rsid w:val="002E70AD"/>
    <w:rsid w:val="002F607C"/>
    <w:rsid w:val="003125A3"/>
    <w:rsid w:val="00313D28"/>
    <w:rsid w:val="00324AFB"/>
    <w:rsid w:val="00331B5D"/>
    <w:rsid w:val="00352A37"/>
    <w:rsid w:val="003532E0"/>
    <w:rsid w:val="00370B80"/>
    <w:rsid w:val="00371EC0"/>
    <w:rsid w:val="00373A56"/>
    <w:rsid w:val="003758CD"/>
    <w:rsid w:val="0039389C"/>
    <w:rsid w:val="00395435"/>
    <w:rsid w:val="003A0A4B"/>
    <w:rsid w:val="003A3004"/>
    <w:rsid w:val="003B1D0D"/>
    <w:rsid w:val="003B50D2"/>
    <w:rsid w:val="003C2E4F"/>
    <w:rsid w:val="003C3DDB"/>
    <w:rsid w:val="003C538D"/>
    <w:rsid w:val="003D3DDB"/>
    <w:rsid w:val="003E0E4A"/>
    <w:rsid w:val="003E7C44"/>
    <w:rsid w:val="003F32AE"/>
    <w:rsid w:val="003F4B1B"/>
    <w:rsid w:val="003F7787"/>
    <w:rsid w:val="00425E5B"/>
    <w:rsid w:val="0043385B"/>
    <w:rsid w:val="00433C9A"/>
    <w:rsid w:val="00441974"/>
    <w:rsid w:val="004454D5"/>
    <w:rsid w:val="0044775D"/>
    <w:rsid w:val="00450B5C"/>
    <w:rsid w:val="00471014"/>
    <w:rsid w:val="00471CE4"/>
    <w:rsid w:val="004730BC"/>
    <w:rsid w:val="00473F89"/>
    <w:rsid w:val="00482574"/>
    <w:rsid w:val="00484F72"/>
    <w:rsid w:val="00486BB0"/>
    <w:rsid w:val="0049291B"/>
    <w:rsid w:val="00496FCD"/>
    <w:rsid w:val="004A61C3"/>
    <w:rsid w:val="004A72AC"/>
    <w:rsid w:val="004B3395"/>
    <w:rsid w:val="004B3FA4"/>
    <w:rsid w:val="004B7BF3"/>
    <w:rsid w:val="004C08E0"/>
    <w:rsid w:val="004C610F"/>
    <w:rsid w:val="004C6409"/>
    <w:rsid w:val="004D0599"/>
    <w:rsid w:val="004D4197"/>
    <w:rsid w:val="004D45BE"/>
    <w:rsid w:val="004D728C"/>
    <w:rsid w:val="004D7684"/>
    <w:rsid w:val="004F2C94"/>
    <w:rsid w:val="004F5AA6"/>
    <w:rsid w:val="0050608C"/>
    <w:rsid w:val="00507C2D"/>
    <w:rsid w:val="0052578B"/>
    <w:rsid w:val="0052587F"/>
    <w:rsid w:val="0053033A"/>
    <w:rsid w:val="00530824"/>
    <w:rsid w:val="00537D48"/>
    <w:rsid w:val="00542FFD"/>
    <w:rsid w:val="00551FFC"/>
    <w:rsid w:val="00556C97"/>
    <w:rsid w:val="00567C74"/>
    <w:rsid w:val="00587E1E"/>
    <w:rsid w:val="00591B02"/>
    <w:rsid w:val="00594D29"/>
    <w:rsid w:val="005A45D2"/>
    <w:rsid w:val="005A4F77"/>
    <w:rsid w:val="005B272E"/>
    <w:rsid w:val="005B709A"/>
    <w:rsid w:val="005C6A39"/>
    <w:rsid w:val="005D59D3"/>
    <w:rsid w:val="005E192D"/>
    <w:rsid w:val="005F0103"/>
    <w:rsid w:val="005F3312"/>
    <w:rsid w:val="00604F8F"/>
    <w:rsid w:val="00612269"/>
    <w:rsid w:val="006227AC"/>
    <w:rsid w:val="00623856"/>
    <w:rsid w:val="0062402C"/>
    <w:rsid w:val="006325CE"/>
    <w:rsid w:val="00635556"/>
    <w:rsid w:val="00647E13"/>
    <w:rsid w:val="00650256"/>
    <w:rsid w:val="006617DA"/>
    <w:rsid w:val="00662B88"/>
    <w:rsid w:val="00665B31"/>
    <w:rsid w:val="006764DF"/>
    <w:rsid w:val="0067688F"/>
    <w:rsid w:val="00680D27"/>
    <w:rsid w:val="00684688"/>
    <w:rsid w:val="00684A18"/>
    <w:rsid w:val="00694BB6"/>
    <w:rsid w:val="006A60B9"/>
    <w:rsid w:val="006A7790"/>
    <w:rsid w:val="006B06E7"/>
    <w:rsid w:val="006D0DC8"/>
    <w:rsid w:val="006D6FCD"/>
    <w:rsid w:val="006D799B"/>
    <w:rsid w:val="006E1DF1"/>
    <w:rsid w:val="006E3768"/>
    <w:rsid w:val="006E5B56"/>
    <w:rsid w:val="006E66E2"/>
    <w:rsid w:val="006F2EB8"/>
    <w:rsid w:val="006F5166"/>
    <w:rsid w:val="0071335D"/>
    <w:rsid w:val="00724171"/>
    <w:rsid w:val="007338DE"/>
    <w:rsid w:val="00741522"/>
    <w:rsid w:val="00747672"/>
    <w:rsid w:val="00747BCF"/>
    <w:rsid w:val="00755109"/>
    <w:rsid w:val="007629B5"/>
    <w:rsid w:val="0076381F"/>
    <w:rsid w:val="00767897"/>
    <w:rsid w:val="00776AA6"/>
    <w:rsid w:val="00776BAB"/>
    <w:rsid w:val="00791935"/>
    <w:rsid w:val="007923BB"/>
    <w:rsid w:val="007A3490"/>
    <w:rsid w:val="007A44E3"/>
    <w:rsid w:val="007A5DDA"/>
    <w:rsid w:val="007B0B77"/>
    <w:rsid w:val="007B3A34"/>
    <w:rsid w:val="007C2670"/>
    <w:rsid w:val="007C4FD7"/>
    <w:rsid w:val="007C5C66"/>
    <w:rsid w:val="007C7571"/>
    <w:rsid w:val="007D13C6"/>
    <w:rsid w:val="007D473C"/>
    <w:rsid w:val="007D7560"/>
    <w:rsid w:val="007E0990"/>
    <w:rsid w:val="007E0DB4"/>
    <w:rsid w:val="007E2EE3"/>
    <w:rsid w:val="007E5C7A"/>
    <w:rsid w:val="007E6C76"/>
    <w:rsid w:val="00801EEC"/>
    <w:rsid w:val="00802AC9"/>
    <w:rsid w:val="008031D8"/>
    <w:rsid w:val="008052A3"/>
    <w:rsid w:val="00812B63"/>
    <w:rsid w:val="00817242"/>
    <w:rsid w:val="00861B6D"/>
    <w:rsid w:val="00870864"/>
    <w:rsid w:val="00876186"/>
    <w:rsid w:val="008815C6"/>
    <w:rsid w:val="00884DD5"/>
    <w:rsid w:val="008972B8"/>
    <w:rsid w:val="008A4D28"/>
    <w:rsid w:val="008C33F4"/>
    <w:rsid w:val="008D5A9B"/>
    <w:rsid w:val="008E18D4"/>
    <w:rsid w:val="008E2B74"/>
    <w:rsid w:val="008E44FA"/>
    <w:rsid w:val="008E7DA1"/>
    <w:rsid w:val="008F2F3D"/>
    <w:rsid w:val="009009CA"/>
    <w:rsid w:val="00902D39"/>
    <w:rsid w:val="00907BD3"/>
    <w:rsid w:val="0092555D"/>
    <w:rsid w:val="00927840"/>
    <w:rsid w:val="00934BD4"/>
    <w:rsid w:val="009626F5"/>
    <w:rsid w:val="00966DF3"/>
    <w:rsid w:val="0097514C"/>
    <w:rsid w:val="00976B76"/>
    <w:rsid w:val="00986310"/>
    <w:rsid w:val="009906F2"/>
    <w:rsid w:val="00994E68"/>
    <w:rsid w:val="00996FCA"/>
    <w:rsid w:val="0099766A"/>
    <w:rsid w:val="009B383C"/>
    <w:rsid w:val="009B5F93"/>
    <w:rsid w:val="009B7279"/>
    <w:rsid w:val="009C55DD"/>
    <w:rsid w:val="009E2274"/>
    <w:rsid w:val="009E4BCE"/>
    <w:rsid w:val="009E5FC7"/>
    <w:rsid w:val="009F13AD"/>
    <w:rsid w:val="009F5F1F"/>
    <w:rsid w:val="009F5FE0"/>
    <w:rsid w:val="009F78A2"/>
    <w:rsid w:val="00A03AFC"/>
    <w:rsid w:val="00A056E0"/>
    <w:rsid w:val="00A10BA7"/>
    <w:rsid w:val="00A141AE"/>
    <w:rsid w:val="00A201C8"/>
    <w:rsid w:val="00A22BA5"/>
    <w:rsid w:val="00A25056"/>
    <w:rsid w:val="00A25D3D"/>
    <w:rsid w:val="00A33659"/>
    <w:rsid w:val="00A34900"/>
    <w:rsid w:val="00A46D52"/>
    <w:rsid w:val="00A53806"/>
    <w:rsid w:val="00A64B5D"/>
    <w:rsid w:val="00A64DF8"/>
    <w:rsid w:val="00A65D55"/>
    <w:rsid w:val="00A668A0"/>
    <w:rsid w:val="00A66EAE"/>
    <w:rsid w:val="00A92515"/>
    <w:rsid w:val="00A97EEC"/>
    <w:rsid w:val="00AA6892"/>
    <w:rsid w:val="00AA6A7E"/>
    <w:rsid w:val="00AB3D63"/>
    <w:rsid w:val="00AC2A47"/>
    <w:rsid w:val="00AD19D9"/>
    <w:rsid w:val="00AD3497"/>
    <w:rsid w:val="00AE4299"/>
    <w:rsid w:val="00AF02D8"/>
    <w:rsid w:val="00AF5F49"/>
    <w:rsid w:val="00B02828"/>
    <w:rsid w:val="00B03A6A"/>
    <w:rsid w:val="00B27C18"/>
    <w:rsid w:val="00B36381"/>
    <w:rsid w:val="00B36F50"/>
    <w:rsid w:val="00B3797E"/>
    <w:rsid w:val="00B406BE"/>
    <w:rsid w:val="00B42089"/>
    <w:rsid w:val="00B42854"/>
    <w:rsid w:val="00B4473B"/>
    <w:rsid w:val="00B46F11"/>
    <w:rsid w:val="00B65546"/>
    <w:rsid w:val="00B82817"/>
    <w:rsid w:val="00B83B32"/>
    <w:rsid w:val="00B84716"/>
    <w:rsid w:val="00B91944"/>
    <w:rsid w:val="00B9198A"/>
    <w:rsid w:val="00B932E5"/>
    <w:rsid w:val="00BA0C58"/>
    <w:rsid w:val="00BA39BF"/>
    <w:rsid w:val="00BA7472"/>
    <w:rsid w:val="00BB2130"/>
    <w:rsid w:val="00BB5EDE"/>
    <w:rsid w:val="00BC127B"/>
    <w:rsid w:val="00BC30EA"/>
    <w:rsid w:val="00BD48F1"/>
    <w:rsid w:val="00BD6423"/>
    <w:rsid w:val="00BE52FE"/>
    <w:rsid w:val="00C04964"/>
    <w:rsid w:val="00C12F29"/>
    <w:rsid w:val="00C22E17"/>
    <w:rsid w:val="00C27650"/>
    <w:rsid w:val="00C31BA1"/>
    <w:rsid w:val="00C43F27"/>
    <w:rsid w:val="00C533D1"/>
    <w:rsid w:val="00C576C8"/>
    <w:rsid w:val="00C74C85"/>
    <w:rsid w:val="00C77FF0"/>
    <w:rsid w:val="00C8203A"/>
    <w:rsid w:val="00C94938"/>
    <w:rsid w:val="00C97FE8"/>
    <w:rsid w:val="00CB3AD7"/>
    <w:rsid w:val="00CB4BC7"/>
    <w:rsid w:val="00CC0AB9"/>
    <w:rsid w:val="00CC2A5B"/>
    <w:rsid w:val="00D00485"/>
    <w:rsid w:val="00D0502A"/>
    <w:rsid w:val="00D060B6"/>
    <w:rsid w:val="00D10F69"/>
    <w:rsid w:val="00D14425"/>
    <w:rsid w:val="00D350F1"/>
    <w:rsid w:val="00D40B7D"/>
    <w:rsid w:val="00D41817"/>
    <w:rsid w:val="00D46E37"/>
    <w:rsid w:val="00D503B5"/>
    <w:rsid w:val="00D51663"/>
    <w:rsid w:val="00D634D9"/>
    <w:rsid w:val="00D667EE"/>
    <w:rsid w:val="00D86CF3"/>
    <w:rsid w:val="00D90A37"/>
    <w:rsid w:val="00DA1598"/>
    <w:rsid w:val="00DA2309"/>
    <w:rsid w:val="00DB0313"/>
    <w:rsid w:val="00DB2A94"/>
    <w:rsid w:val="00DB7100"/>
    <w:rsid w:val="00DB76DC"/>
    <w:rsid w:val="00DC0AA0"/>
    <w:rsid w:val="00DC45A1"/>
    <w:rsid w:val="00DC4A53"/>
    <w:rsid w:val="00DC6353"/>
    <w:rsid w:val="00DD69A0"/>
    <w:rsid w:val="00DE2462"/>
    <w:rsid w:val="00DE4086"/>
    <w:rsid w:val="00DF73F1"/>
    <w:rsid w:val="00E034AB"/>
    <w:rsid w:val="00E066C5"/>
    <w:rsid w:val="00E3321F"/>
    <w:rsid w:val="00E33730"/>
    <w:rsid w:val="00E34784"/>
    <w:rsid w:val="00E61F41"/>
    <w:rsid w:val="00E65933"/>
    <w:rsid w:val="00E659F9"/>
    <w:rsid w:val="00E75686"/>
    <w:rsid w:val="00E75707"/>
    <w:rsid w:val="00E777E8"/>
    <w:rsid w:val="00E77B92"/>
    <w:rsid w:val="00E9041F"/>
    <w:rsid w:val="00EB6C71"/>
    <w:rsid w:val="00EB7D19"/>
    <w:rsid w:val="00EC19B4"/>
    <w:rsid w:val="00EC405E"/>
    <w:rsid w:val="00EC5DD0"/>
    <w:rsid w:val="00ED4520"/>
    <w:rsid w:val="00EF6701"/>
    <w:rsid w:val="00F00B7B"/>
    <w:rsid w:val="00F118EC"/>
    <w:rsid w:val="00F12212"/>
    <w:rsid w:val="00F16B3C"/>
    <w:rsid w:val="00F261B3"/>
    <w:rsid w:val="00F340F6"/>
    <w:rsid w:val="00F463BE"/>
    <w:rsid w:val="00F554DB"/>
    <w:rsid w:val="00F60E1E"/>
    <w:rsid w:val="00F67466"/>
    <w:rsid w:val="00F705EB"/>
    <w:rsid w:val="00F7404A"/>
    <w:rsid w:val="00F76EAC"/>
    <w:rsid w:val="00F81B69"/>
    <w:rsid w:val="00F824BE"/>
    <w:rsid w:val="00F94C23"/>
    <w:rsid w:val="00F97433"/>
    <w:rsid w:val="00FA4014"/>
    <w:rsid w:val="00FA5806"/>
    <w:rsid w:val="00FA67F3"/>
    <w:rsid w:val="00FA77CD"/>
    <w:rsid w:val="00FD49E0"/>
    <w:rsid w:val="00FD7301"/>
    <w:rsid w:val="00FE09E7"/>
    <w:rsid w:val="00FE3EC9"/>
    <w:rsid w:val="00FE55CE"/>
    <w:rsid w:val="00FE7302"/>
    <w:rsid w:val="7C1D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7262"/>
  <w15:docId w15:val="{AA1CB060-0893-4FEF-915A-52873C52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226"/>
  </w:style>
  <w:style w:type="paragraph" w:styleId="Heading1">
    <w:name w:val="heading 1"/>
    <w:basedOn w:val="Normal"/>
    <w:next w:val="Normal"/>
    <w:link w:val="Heading1Char"/>
    <w:uiPriority w:val="9"/>
    <w:qFormat/>
    <w:rsid w:val="00B36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C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6F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034AB"/>
    <w:pPr>
      <w:spacing w:after="0" w:line="240" w:lineRule="auto"/>
    </w:pPr>
    <w:rPr>
      <w:rFonts w:eastAsia="PMingLiU"/>
      <w:szCs w:val="28"/>
      <w:lang w:val="en-GB" w:eastAsia="zh-TW" w:bidi="as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CharCharCharChar1">
    <w:name w:val="Footnote Text Char Char Char Char1"/>
    <w:basedOn w:val="Normal"/>
    <w:next w:val="FootnoteText"/>
    <w:uiPriority w:val="99"/>
    <w:unhideWhenUsed/>
    <w:rsid w:val="00E034AB"/>
    <w:pPr>
      <w:spacing w:after="0" w:line="240" w:lineRule="auto"/>
    </w:pPr>
    <w:rPr>
      <w:rFonts w:eastAsia="PMingLiU"/>
      <w:sz w:val="20"/>
      <w:szCs w:val="25"/>
      <w:lang w:val="en-GB" w:eastAsia="zh-TW" w:bidi="as-IN"/>
    </w:rPr>
  </w:style>
  <w:style w:type="character" w:customStyle="1" w:styleId="FootnoteTextChar">
    <w:name w:val="Footnote Text Char"/>
    <w:aliases w:val=" Char Char1, Char Char Char,Char Char1,Char Char Char,ft Char,ADB Char,single space Char,Footnote Text Char Char Char Char Char"/>
    <w:basedOn w:val="DefaultParagraphFont"/>
    <w:uiPriority w:val="99"/>
    <w:rsid w:val="00E034AB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034AB"/>
    <w:rPr>
      <w:vertAlign w:val="superscript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E0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E034AB"/>
  </w:style>
  <w:style w:type="character" w:styleId="Emphasis">
    <w:name w:val="Emphasis"/>
    <w:basedOn w:val="DefaultParagraphFont"/>
    <w:uiPriority w:val="20"/>
    <w:qFormat/>
    <w:rsid w:val="00E034AB"/>
    <w:rPr>
      <w:i/>
      <w:iCs/>
    </w:rPr>
  </w:style>
  <w:style w:type="paragraph" w:customStyle="1" w:styleId="footnotedescription">
    <w:name w:val="footnote description"/>
    <w:next w:val="Normal"/>
    <w:link w:val="footnotedescriptionChar"/>
    <w:hidden/>
    <w:rsid w:val="00E034AB"/>
    <w:pPr>
      <w:spacing w:after="0"/>
    </w:pPr>
    <w:rPr>
      <w:rFonts w:ascii="Times New Roman" w:eastAsia="Times New Roman" w:hAnsi="Times New Roman" w:cs="Times New Roman"/>
      <w:color w:val="000000"/>
      <w:sz w:val="20"/>
      <w:szCs w:val="28"/>
      <w:lang w:val="en-GB" w:eastAsia="zh-TW" w:bidi="as-IN"/>
    </w:rPr>
  </w:style>
  <w:style w:type="character" w:customStyle="1" w:styleId="footnotedescriptionChar">
    <w:name w:val="footnote description Char"/>
    <w:link w:val="footnotedescription"/>
    <w:rsid w:val="00E034AB"/>
    <w:rPr>
      <w:rFonts w:ascii="Times New Roman" w:eastAsia="Times New Roman" w:hAnsi="Times New Roman" w:cs="Times New Roman"/>
      <w:color w:val="000000"/>
      <w:sz w:val="20"/>
      <w:szCs w:val="28"/>
      <w:lang w:val="en-GB" w:eastAsia="zh-TW" w:bidi="as-IN"/>
    </w:rPr>
  </w:style>
  <w:style w:type="character" w:customStyle="1" w:styleId="footnotemark">
    <w:name w:val="footnote mark"/>
    <w:hidden/>
    <w:rsid w:val="00E034AB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0">
    <w:name w:val="TableGrid"/>
    <w:rsid w:val="00E034AB"/>
    <w:pPr>
      <w:spacing w:after="0" w:line="240" w:lineRule="auto"/>
    </w:pPr>
    <w:rPr>
      <w:rFonts w:eastAsia="PMingLiU"/>
      <w:szCs w:val="28"/>
      <w:lang w:val="en-GB" w:eastAsia="zh-TW" w:bidi="as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E0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unhideWhenUsed/>
    <w:rsid w:val="00E034AB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E034AB"/>
    <w:rPr>
      <w:sz w:val="20"/>
      <w:szCs w:val="20"/>
    </w:rPr>
  </w:style>
  <w:style w:type="paragraph" w:styleId="Footer">
    <w:name w:val="footer"/>
    <w:basedOn w:val="Normal"/>
    <w:link w:val="FooterChar1"/>
    <w:uiPriority w:val="99"/>
    <w:unhideWhenUsed/>
    <w:rsid w:val="00E0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E034AB"/>
  </w:style>
  <w:style w:type="paragraph" w:styleId="BalloonText">
    <w:name w:val="Balloon Text"/>
    <w:basedOn w:val="Normal"/>
    <w:link w:val="BalloonTextChar"/>
    <w:uiPriority w:val="99"/>
    <w:semiHidden/>
    <w:unhideWhenUsed/>
    <w:rsid w:val="00AA6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33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7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7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7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75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22E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47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E13"/>
  </w:style>
  <w:style w:type="paragraph" w:styleId="EndnoteText">
    <w:name w:val="endnote text"/>
    <w:basedOn w:val="Normal"/>
    <w:link w:val="EndnoteTextChar"/>
    <w:uiPriority w:val="99"/>
    <w:semiHidden/>
    <w:unhideWhenUsed/>
    <w:rsid w:val="003532E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32E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532E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04C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6F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36F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36F50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36F5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36F5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36F50"/>
    <w:rPr>
      <w:color w:val="0563C1" w:themeColor="hyperlink"/>
      <w:u w:val="single"/>
    </w:rPr>
  </w:style>
  <w:style w:type="paragraph" w:customStyle="1" w:styleId="ColorfulList-Accent11">
    <w:name w:val="Colorful List - Accent 11"/>
    <w:basedOn w:val="Normal"/>
    <w:link w:val="ColorfulList-Accent1Char"/>
    <w:qFormat/>
    <w:rsid w:val="00224E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olorfulList-Accent1Char">
    <w:name w:val="Colorful List - Accent 1 Char"/>
    <w:basedOn w:val="DefaultParagraphFont"/>
    <w:link w:val="ColorfulList-Accent11"/>
    <w:rsid w:val="00224E5A"/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E6C7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B5B05-E303-49EF-9565-770893C8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13182</Words>
  <Characters>75140</Characters>
  <Application>Microsoft Office Word</Application>
  <DocSecurity>0</DocSecurity>
  <Lines>626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</Company>
  <LinksUpToDate>false</LinksUpToDate>
  <CharactersWithSpaces>88146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Lubura Lucic</dc:creator>
  <cp:keywords/>
  <dc:description/>
  <cp:lastModifiedBy>Lektor Ministarstvo pravde BiH</cp:lastModifiedBy>
  <cp:revision>20</cp:revision>
  <cp:lastPrinted>2019-04-16T12:36:00Z</cp:lastPrinted>
  <dcterms:created xsi:type="dcterms:W3CDTF">2019-05-28T08:59:00Z</dcterms:created>
  <dcterms:modified xsi:type="dcterms:W3CDTF">2019-05-29T10:38:00Z</dcterms:modified>
</cp:coreProperties>
</file>