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68" w:rsidRPr="00DD48CD" w:rsidRDefault="00F92C68" w:rsidP="00F92C68">
      <w:pPr>
        <w:spacing w:after="120"/>
        <w:jc w:val="both"/>
        <w:rPr>
          <w:rFonts w:ascii="Times New Roman" w:hAnsi="Times New Roman" w:cs="Times New Roman"/>
          <w:b/>
          <w:sz w:val="23"/>
          <w:szCs w:val="23"/>
        </w:rPr>
      </w:pPr>
      <w:r w:rsidRPr="00DD48CD">
        <w:rPr>
          <w:rFonts w:ascii="Times New Roman" w:hAnsi="Times New Roman" w:cs="Times New Roman"/>
          <w:b/>
          <w:sz w:val="23"/>
          <w:szCs w:val="23"/>
        </w:rPr>
        <w:t>OBRAZAC broj 2 – IZVJEŠTAJ O SVEOBUHVATNOJ PROCJENI UTICAJA PROPISA</w:t>
      </w:r>
    </w:p>
    <w:p w:rsidR="00F92C68" w:rsidRPr="00DD48CD" w:rsidRDefault="00F92C68" w:rsidP="00F92C68">
      <w:pPr>
        <w:spacing w:after="120" w:line="240" w:lineRule="auto"/>
        <w:jc w:val="both"/>
        <w:rPr>
          <w:rFonts w:ascii="Times New Roman" w:eastAsia="Times New Roman" w:hAnsi="Times New Roman"/>
          <w:i/>
          <w:sz w:val="24"/>
          <w:szCs w:val="24"/>
        </w:rPr>
      </w:pPr>
      <w:r w:rsidRPr="00DD48CD">
        <w:rPr>
          <w:rFonts w:ascii="Times New Roman" w:eastAsia="Times New Roman" w:hAnsi="Times New Roman"/>
          <w:i/>
          <w:sz w:val="24"/>
          <w:szCs w:val="24"/>
        </w:rPr>
        <w:t>(Naziv nosioca izrade normativnog akta)</w:t>
      </w:r>
    </w:p>
    <w:p w:rsidR="00F92C68" w:rsidRPr="00DD48CD" w:rsidRDefault="00F92C68" w:rsidP="00F92C68">
      <w:pPr>
        <w:spacing w:after="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Broj: __________________</w:t>
      </w:r>
    </w:p>
    <w:p w:rsidR="00F92C68" w:rsidRPr="00DD48CD" w:rsidRDefault="00F92C68" w:rsidP="00F92C68">
      <w:pPr>
        <w:spacing w:after="12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Sarajevo, ______________ godine</w:t>
      </w:r>
    </w:p>
    <w:p w:rsidR="00F92C68" w:rsidRPr="00DD48CD" w:rsidRDefault="00F92C68" w:rsidP="00F92C68">
      <w:pPr>
        <w:spacing w:after="120" w:line="240" w:lineRule="auto"/>
        <w:jc w:val="both"/>
        <w:rPr>
          <w:rFonts w:ascii="Times New Roman" w:eastAsia="Times New Roman" w:hAnsi="Times New Roman"/>
          <w:sz w:val="24"/>
          <w:szCs w:val="24"/>
        </w:rPr>
      </w:pPr>
      <w:r w:rsidRPr="00DD48CD">
        <w:rPr>
          <w:rFonts w:ascii="Times New Roman" w:eastAsia="Times New Roman" w:hAnsi="Times New Roman" w:cs="Times New Roman"/>
          <w:i/>
          <w:sz w:val="24"/>
          <w:szCs w:val="24"/>
        </w:rPr>
        <w:t>Ovaj ob</w:t>
      </w:r>
      <w:r>
        <w:rPr>
          <w:rFonts w:ascii="Times New Roman" w:eastAsia="Times New Roman" w:hAnsi="Times New Roman" w:cs="Times New Roman"/>
          <w:i/>
          <w:sz w:val="24"/>
          <w:szCs w:val="24"/>
        </w:rPr>
        <w:t>razac se koristi za sveobuhvatnu</w:t>
      </w:r>
      <w:r w:rsidRPr="00DD48CD">
        <w:rPr>
          <w:rFonts w:ascii="Times New Roman" w:eastAsia="Times New Roman" w:hAnsi="Times New Roman" w:cs="Times New Roman"/>
          <w:i/>
          <w:sz w:val="24"/>
          <w:szCs w:val="24"/>
        </w:rPr>
        <w:t xml:space="preserve"> procjenu uticaja propisa</w:t>
      </w:r>
      <w:r w:rsidRPr="00DD48CD">
        <w:rPr>
          <w:rFonts w:ascii="Times New Roman" w:eastAsia="Times New Roman" w:hAnsi="Times New Roman"/>
          <w:i/>
          <w:sz w:val="24"/>
          <w:szCs w:val="24"/>
        </w:rPr>
        <w:t>. Tekst označen italikom, uključujući i ovu napomenu potrebno je brisati tokom popunjavanja obrasca.</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19"/>
        <w:gridCol w:w="5069"/>
      </w:tblGrid>
      <w:tr w:rsidR="00F92C68" w:rsidRPr="00AE5A4E" w:rsidTr="00EF61B4">
        <w:tc>
          <w:tcPr>
            <w:tcW w:w="0" w:type="auto"/>
            <w:gridSpan w:val="2"/>
            <w:tcBorders>
              <w:top w:val="single" w:sz="8" w:space="0" w:color="4F81BD"/>
              <w:left w:val="single" w:sz="8" w:space="0" w:color="4F81BD"/>
              <w:bottom w:val="nil"/>
              <w:right w:val="single" w:sz="8" w:space="0" w:color="4F81BD"/>
            </w:tcBorders>
            <w:shd w:val="clear" w:color="auto" w:fill="4F81BD"/>
            <w:vAlign w:val="center"/>
            <w:hideMark/>
          </w:tcPr>
          <w:p w:rsidR="00F92C68" w:rsidRPr="00AE5A4E" w:rsidRDefault="00F92C68" w:rsidP="00EF61B4">
            <w:pPr>
              <w:spacing w:after="0" w:line="240" w:lineRule="auto"/>
              <w:jc w:val="center"/>
              <w:rPr>
                <w:rFonts w:ascii="Times New Roman" w:eastAsia="Times New Roman" w:hAnsi="Times New Roman" w:cs="Times New Roman"/>
                <w:b/>
                <w:bCs/>
                <w:color w:val="FFFFFF" w:themeColor="background1"/>
                <w:sz w:val="20"/>
                <w:szCs w:val="20"/>
              </w:rPr>
            </w:pPr>
            <w:r w:rsidRPr="00AE5A4E">
              <w:rPr>
                <w:rFonts w:ascii="Times New Roman" w:eastAsia="Times New Roman" w:hAnsi="Times New Roman" w:cs="Times New Roman"/>
                <w:b/>
                <w:bCs/>
                <w:color w:val="FFFFFF" w:themeColor="background1"/>
                <w:sz w:val="20"/>
                <w:szCs w:val="20"/>
              </w:rPr>
              <w:t>IZVJEŠTAJ O SVEOBUHVATNOJ PROCJENI UTICAJA PROPISA</w:t>
            </w:r>
          </w:p>
        </w:tc>
      </w:tr>
      <w:tr w:rsidR="00F92C68" w:rsidRPr="00DD48CD" w:rsidTr="00EF61B4">
        <w:trPr>
          <w:trHeight w:val="268"/>
        </w:trPr>
        <w:tc>
          <w:tcPr>
            <w:tcW w:w="4219" w:type="dxa"/>
            <w:tcBorders>
              <w:top w:val="single" w:sz="8" w:space="0" w:color="4F81BD"/>
              <w:left w:val="single" w:sz="8" w:space="0" w:color="4F81BD"/>
              <w:bottom w:val="single" w:sz="8" w:space="0" w:color="4F81BD"/>
              <w:right w:val="single" w:sz="8" w:space="0" w:color="4F81BD"/>
            </w:tcBorders>
            <w:hideMark/>
          </w:tcPr>
          <w:p w:rsidR="00F92C68" w:rsidRPr="00DD48CD" w:rsidRDefault="00F92C68" w:rsidP="00EF61B4">
            <w:pPr>
              <w:spacing w:after="0" w:line="240" w:lineRule="auto"/>
              <w:rPr>
                <w:rFonts w:ascii="Times New Roman" w:eastAsia="Times New Roman" w:hAnsi="Times New Roman" w:cs="Times New Roman"/>
                <w:bCs/>
                <w:sz w:val="20"/>
                <w:szCs w:val="20"/>
              </w:rPr>
            </w:pPr>
            <w:r w:rsidRPr="00DD48CD">
              <w:rPr>
                <w:rFonts w:ascii="Times New Roman" w:hAnsi="Times New Roman" w:cs="Times New Roman"/>
                <w:b/>
                <w:bCs/>
                <w:sz w:val="20"/>
                <w:szCs w:val="20"/>
              </w:rPr>
              <w:t>NOSILAC NORMATIVNOG POSLA</w:t>
            </w:r>
          </w:p>
        </w:tc>
        <w:tc>
          <w:tcPr>
            <w:tcW w:w="5069" w:type="dxa"/>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eastAsia="Times New Roman" w:hAnsi="Times New Roman" w:cs="Times New Roman"/>
                <w:bCs/>
                <w:sz w:val="20"/>
                <w:szCs w:val="20"/>
              </w:rPr>
            </w:pPr>
          </w:p>
        </w:tc>
      </w:tr>
      <w:tr w:rsidR="00F92C68" w:rsidRPr="00DD48CD" w:rsidTr="00EF61B4">
        <w:trPr>
          <w:trHeight w:val="268"/>
        </w:trPr>
        <w:tc>
          <w:tcPr>
            <w:tcW w:w="4219" w:type="dxa"/>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hAnsi="Times New Roman" w:cs="Times New Roman"/>
                <w:b/>
                <w:bCs/>
                <w:sz w:val="20"/>
                <w:szCs w:val="20"/>
              </w:rPr>
            </w:pPr>
            <w:r w:rsidRPr="00DD48CD">
              <w:rPr>
                <w:rFonts w:ascii="Times New Roman" w:hAnsi="Times New Roman" w:cs="Times New Roman"/>
                <w:b/>
                <w:bCs/>
                <w:sz w:val="20"/>
                <w:szCs w:val="20"/>
              </w:rPr>
              <w:t>VRSTA PROPISA</w:t>
            </w:r>
          </w:p>
        </w:tc>
        <w:tc>
          <w:tcPr>
            <w:tcW w:w="5069" w:type="dxa"/>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a) ustav,</w:t>
            </w:r>
          </w:p>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b) sporazum,</w:t>
            </w:r>
          </w:p>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c) zakon,</w:t>
            </w:r>
          </w:p>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d) poslovnik,</w:t>
            </w:r>
          </w:p>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e) odluka,</w:t>
            </w:r>
          </w:p>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f) uputstvo,</w:t>
            </w:r>
          </w:p>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g) pravilnik,</w:t>
            </w:r>
          </w:p>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h) drugi opći pravni akt</w:t>
            </w:r>
            <w:r>
              <w:rPr>
                <w:rFonts w:ascii="Times New Roman" w:eastAsia="Times New Roman" w:hAnsi="Times New Roman" w:cs="Times New Roman"/>
                <w:bCs/>
                <w:i/>
                <w:sz w:val="20"/>
                <w:szCs w:val="20"/>
              </w:rPr>
              <w:t>.</w:t>
            </w:r>
          </w:p>
        </w:tc>
      </w:tr>
      <w:tr w:rsidR="00F92C68" w:rsidRPr="00DD48CD" w:rsidTr="00EF61B4">
        <w:trPr>
          <w:trHeight w:val="268"/>
        </w:trPr>
        <w:tc>
          <w:tcPr>
            <w:tcW w:w="4219" w:type="dxa"/>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hAnsi="Times New Roman" w:cs="Times New Roman"/>
                <w:b/>
                <w:bCs/>
                <w:sz w:val="20"/>
                <w:szCs w:val="20"/>
              </w:rPr>
            </w:pPr>
            <w:r w:rsidRPr="00DD48CD">
              <w:rPr>
                <w:rFonts w:ascii="Times New Roman" w:hAnsi="Times New Roman" w:cs="Times New Roman"/>
                <w:b/>
                <w:bCs/>
                <w:sz w:val="20"/>
                <w:szCs w:val="20"/>
              </w:rPr>
              <w:t>NAZIV PROPISA</w:t>
            </w:r>
          </w:p>
        </w:tc>
        <w:tc>
          <w:tcPr>
            <w:tcW w:w="5069" w:type="dxa"/>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eastAsia="Times New Roman" w:hAnsi="Times New Roman" w:cs="Times New Roman"/>
                <w:bCs/>
                <w:sz w:val="20"/>
                <w:szCs w:val="20"/>
              </w:rPr>
            </w:pPr>
          </w:p>
        </w:tc>
      </w:tr>
      <w:tr w:rsidR="00F92C68" w:rsidRPr="00DD48CD" w:rsidTr="00EF61B4">
        <w:trPr>
          <w:trHeight w:val="268"/>
        </w:trPr>
        <w:tc>
          <w:tcPr>
            <w:tcW w:w="0" w:type="auto"/>
            <w:gridSpan w:val="2"/>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eastAsia="Times New Roman" w:hAnsi="Times New Roman" w:cs="Times New Roman"/>
                <w:b/>
                <w:bCs/>
                <w:sz w:val="20"/>
                <w:szCs w:val="20"/>
              </w:rPr>
            </w:pPr>
            <w:r w:rsidRPr="00DD48CD">
              <w:rPr>
                <w:rFonts w:ascii="Times New Roman" w:eastAsia="Times New Roman" w:hAnsi="Times New Roman" w:cs="Times New Roman"/>
                <w:b/>
                <w:bCs/>
                <w:sz w:val="20"/>
                <w:szCs w:val="20"/>
              </w:rPr>
              <w:t>1. PRAVNI OSNOV ZA DONOŠENJE PROPISA</w:t>
            </w:r>
          </w:p>
        </w:tc>
      </w:tr>
      <w:tr w:rsidR="00F92C68" w:rsidRPr="00DD48CD" w:rsidTr="00EF61B4">
        <w:trPr>
          <w:trHeight w:val="268"/>
        </w:trPr>
        <w:tc>
          <w:tcPr>
            <w:tcW w:w="0" w:type="auto"/>
            <w:gridSpan w:val="2"/>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Navesti ustavni ili zakonski osnov za donošenje propisa.</w:t>
            </w:r>
          </w:p>
        </w:tc>
      </w:tr>
      <w:tr w:rsidR="00F92C68" w:rsidRPr="00DD48CD" w:rsidTr="00EF61B4">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rsidR="00F92C68" w:rsidRPr="00DD48CD" w:rsidRDefault="00F92C68" w:rsidP="00EF61B4">
            <w:pPr>
              <w:spacing w:after="0" w:line="240" w:lineRule="auto"/>
              <w:rPr>
                <w:rFonts w:ascii="Times New Roman" w:eastAsia="Times New Roman" w:hAnsi="Times New Roman" w:cs="Times New Roman"/>
                <w:b/>
                <w:bCs/>
                <w:sz w:val="20"/>
                <w:szCs w:val="20"/>
              </w:rPr>
            </w:pPr>
            <w:r w:rsidRPr="00DD48CD">
              <w:rPr>
                <w:rFonts w:ascii="Times New Roman" w:eastAsia="Times New Roman" w:hAnsi="Times New Roman" w:cs="Times New Roman"/>
                <w:b/>
                <w:bCs/>
                <w:sz w:val="20"/>
                <w:szCs w:val="20"/>
              </w:rPr>
              <w:t xml:space="preserve">2. </w:t>
            </w:r>
            <w:r w:rsidRPr="00DD48CD">
              <w:rPr>
                <w:rFonts w:ascii="Times New Roman" w:eastAsia="Arial Unicode MS" w:hAnsi="Times New Roman" w:cs="Times New Roman"/>
                <w:b/>
                <w:bCs/>
                <w:caps/>
                <w:sz w:val="20"/>
                <w:szCs w:val="20"/>
                <w:lang w:eastAsia="ja-JP"/>
              </w:rPr>
              <w:t>Analiza stanja i utvrđivanje problema</w:t>
            </w:r>
          </w:p>
        </w:tc>
      </w:tr>
      <w:tr w:rsidR="00F92C68" w:rsidRPr="00DD48CD" w:rsidTr="00EF61B4">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Arial Unicode MS" w:hAnsi="Times New Roman" w:cs="Times New Roman"/>
                <w:bCs/>
                <w:i/>
                <w:sz w:val="20"/>
                <w:szCs w:val="20"/>
                <w:lang w:eastAsia="ja-JP"/>
              </w:rPr>
              <w:t>U skladu sa članom 9. Aneksa I izvršite analizu stanja i utvrdite problem.</w:t>
            </w:r>
          </w:p>
        </w:tc>
      </w:tr>
      <w:tr w:rsidR="00F92C68" w:rsidRPr="00DD48CD" w:rsidTr="00EF61B4">
        <w:trPr>
          <w:trHeight w:val="250"/>
        </w:trPr>
        <w:tc>
          <w:tcPr>
            <w:tcW w:w="0" w:type="auto"/>
            <w:gridSpan w:val="2"/>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eastAsia="Times New Roman" w:hAnsi="Times New Roman" w:cs="Times New Roman"/>
                <w:b/>
                <w:bCs/>
                <w:sz w:val="20"/>
                <w:szCs w:val="20"/>
              </w:rPr>
            </w:pPr>
            <w:r w:rsidRPr="00DD48CD">
              <w:rPr>
                <w:rFonts w:ascii="Times New Roman" w:eastAsia="Times New Roman" w:hAnsi="Times New Roman" w:cs="Times New Roman"/>
                <w:b/>
                <w:bCs/>
                <w:sz w:val="20"/>
                <w:szCs w:val="20"/>
              </w:rPr>
              <w:t>3. UTVRĐIVANJE CILJEVA</w:t>
            </w:r>
          </w:p>
        </w:tc>
      </w:tr>
      <w:tr w:rsidR="00F92C68" w:rsidRPr="00DD48CD" w:rsidTr="00EF61B4">
        <w:trPr>
          <w:trHeight w:val="250"/>
        </w:trPr>
        <w:tc>
          <w:tcPr>
            <w:tcW w:w="0" w:type="auto"/>
            <w:gridSpan w:val="2"/>
            <w:tcBorders>
              <w:top w:val="single" w:sz="8" w:space="0" w:color="4F81BD"/>
              <w:left w:val="single" w:sz="8" w:space="0" w:color="4F81BD"/>
              <w:bottom w:val="single" w:sz="8" w:space="0" w:color="4F81BD"/>
              <w:right w:val="single" w:sz="8" w:space="0" w:color="4F81BD"/>
            </w:tcBorders>
          </w:tcPr>
          <w:p w:rsidR="00F92C68" w:rsidRPr="00DD48CD" w:rsidRDefault="00F92C68" w:rsidP="00EF61B4">
            <w:pPr>
              <w:spacing w:after="0" w:line="240" w:lineRule="auto"/>
              <w:rPr>
                <w:rFonts w:ascii="Times New Roman" w:eastAsia="Times New Roman" w:hAnsi="Times New Roman" w:cs="Times New Roman"/>
                <w:bCs/>
                <w:i/>
                <w:sz w:val="20"/>
                <w:szCs w:val="20"/>
              </w:rPr>
            </w:pPr>
            <w:r w:rsidRPr="00DD48CD">
              <w:rPr>
                <w:rFonts w:ascii="Times New Roman" w:eastAsia="Arial Unicode MS" w:hAnsi="Times New Roman" w:cs="Times New Roman"/>
                <w:bCs/>
                <w:i/>
                <w:sz w:val="20"/>
                <w:szCs w:val="20"/>
                <w:lang w:eastAsia="ja-JP"/>
              </w:rPr>
              <w:t xml:space="preserve">U skladu sa članom 10. Aneksa I izvršite analizu stanja i utvrdite </w:t>
            </w:r>
            <w:r>
              <w:rPr>
                <w:rFonts w:ascii="Times New Roman" w:eastAsia="Arial Unicode MS" w:hAnsi="Times New Roman" w:cs="Times New Roman"/>
                <w:bCs/>
                <w:i/>
                <w:sz w:val="20"/>
                <w:szCs w:val="20"/>
                <w:lang w:eastAsia="ja-JP"/>
              </w:rPr>
              <w:t>cilj</w:t>
            </w:r>
            <w:r w:rsidRPr="00DD48CD">
              <w:rPr>
                <w:rFonts w:ascii="Times New Roman" w:eastAsia="Times New Roman" w:hAnsi="Times New Roman" w:cs="Times New Roman"/>
                <w:bCs/>
                <w:i/>
                <w:sz w:val="20"/>
                <w:szCs w:val="20"/>
              </w:rPr>
              <w:t>.</w:t>
            </w:r>
          </w:p>
        </w:tc>
      </w:tr>
      <w:tr w:rsidR="00F92C68" w:rsidRPr="00DD48CD" w:rsidTr="00EF61B4">
        <w:tc>
          <w:tcPr>
            <w:tcW w:w="0" w:type="auto"/>
            <w:gridSpan w:val="2"/>
            <w:tcBorders>
              <w:top w:val="single" w:sz="8" w:space="0" w:color="4F81BD"/>
              <w:left w:val="single" w:sz="8" w:space="0" w:color="4F81BD"/>
              <w:bottom w:val="single" w:sz="8" w:space="0" w:color="4F81BD"/>
              <w:right w:val="single" w:sz="8" w:space="0" w:color="4F81BD"/>
            </w:tcBorders>
            <w:hideMark/>
          </w:tcPr>
          <w:p w:rsidR="00F92C68" w:rsidRPr="00DD48CD" w:rsidRDefault="00F92C68" w:rsidP="00EF61B4">
            <w:pPr>
              <w:spacing w:after="0" w:line="240" w:lineRule="auto"/>
              <w:rPr>
                <w:rFonts w:ascii="Times New Roman" w:eastAsia="Times New Roman" w:hAnsi="Times New Roman" w:cs="Times New Roman"/>
                <w:bCs/>
                <w:sz w:val="20"/>
                <w:szCs w:val="20"/>
              </w:rPr>
            </w:pPr>
            <w:r w:rsidRPr="00DD48CD">
              <w:rPr>
                <w:rFonts w:ascii="Times New Roman" w:eastAsia="Times New Roman" w:hAnsi="Times New Roman" w:cs="Times New Roman"/>
                <w:b/>
                <w:bCs/>
                <w:sz w:val="20"/>
                <w:szCs w:val="20"/>
              </w:rPr>
              <w:t>4. UTVRĐIVANJE MOGUĆIH RJEŠENJA</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Calibri" w:hAnsi="Times New Roman" w:cs="Times New Roman"/>
                <w:i/>
                <w:sz w:val="20"/>
                <w:szCs w:val="20"/>
              </w:rPr>
            </w:pPr>
            <w:r w:rsidRPr="00DD48CD">
              <w:rPr>
                <w:rFonts w:ascii="Times New Roman" w:eastAsia="Arial Unicode MS" w:hAnsi="Times New Roman" w:cs="Times New Roman"/>
                <w:bCs/>
                <w:i/>
                <w:sz w:val="20"/>
                <w:szCs w:val="20"/>
                <w:lang w:eastAsia="ja-JP"/>
              </w:rPr>
              <w:t>U skladu sa članom 11. Aneksa I utvrdite moguća rješenja za postizanje operativnih ciljeva.</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 xml:space="preserve">5. PROCJENA UTICAJA </w:t>
            </w:r>
            <w:r w:rsidRPr="00DD48CD">
              <w:rPr>
                <w:rFonts w:ascii="Times New Roman" w:eastAsia="Times New Roman" w:hAnsi="Times New Roman" w:cs="Times New Roman"/>
                <w:b/>
                <w:bCs/>
                <w:sz w:val="20"/>
                <w:szCs w:val="20"/>
              </w:rPr>
              <w:t>MOGUĆIH RJEŠENJA</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w:t>
            </w:r>
            <w:r>
              <w:rPr>
                <w:rFonts w:ascii="Times New Roman" w:eastAsia="Arial Unicode MS" w:hAnsi="Times New Roman" w:cs="Times New Roman"/>
                <w:bCs/>
                <w:i/>
                <w:sz w:val="20"/>
                <w:szCs w:val="20"/>
                <w:lang w:eastAsia="ja-JP"/>
              </w:rPr>
              <w:t>.</w:t>
            </w:r>
            <w:r w:rsidRPr="00DD48CD">
              <w:rPr>
                <w:rFonts w:ascii="Times New Roman" w:eastAsia="Arial Unicode MS" w:hAnsi="Times New Roman" w:cs="Times New Roman"/>
                <w:bCs/>
                <w:i/>
                <w:sz w:val="20"/>
                <w:szCs w:val="20"/>
                <w:lang w:eastAsia="ja-JP"/>
              </w:rPr>
              <w:t xml:space="preserve"> od 12. do 19. Aneksa I izvršite procjenu fiskalnih, ekonomskih, socijalnih i okolišnih uticaja mogućih rješenja, kao i procjenu uticaja na održivi razvoj. Prilikom provođenja procjene uticaja mogućih rješenja koristite se obrascima 2a do 2d, kao pomoćnim sredstvom prilikom identifikacije i razmatranja mogućih uticaja.</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6. KONSULTACIJE</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članom 20. Aneksa I opišite provedene konsultacije i rezultate istih.</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7. UPOREDNA ANALIZA PREDLOŽENIH RJEŠENJA</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članom 21. Aneksa I izvršite uporednu analizu predloženih rješenja.</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8. REZULTATI PROCJENE UTICAJA I PREDLAGANJE NAJPOVOLJNIJIH RJEŠENJA</w:t>
            </w:r>
          </w:p>
        </w:tc>
      </w:tr>
      <w:tr w:rsidR="00F92C68" w:rsidRPr="00DD48CD" w:rsidTr="00EF61B4">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F92C68" w:rsidRPr="00DD48CD" w:rsidRDefault="00F92C68" w:rsidP="00EF61B4">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članom 22. Aneksa I opišite rezultate procjene uticaja i navedite prijedloge najpovoljnijih rješenja za ostvarivanje ciljeva propisa.</w:t>
            </w:r>
          </w:p>
          <w:p w:rsidR="00F92C68" w:rsidRPr="00DD48CD" w:rsidRDefault="00F92C68" w:rsidP="00EF61B4">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Popunite i priložite obrasce 2a do 2d Aneksa I.</w:t>
            </w:r>
          </w:p>
        </w:tc>
      </w:tr>
    </w:tbl>
    <w:p w:rsidR="00F92C68" w:rsidRPr="00DD48CD" w:rsidRDefault="00F92C68" w:rsidP="00F92C68">
      <w:pPr>
        <w:rPr>
          <w:rFonts w:ascii="Times New Roman" w:eastAsia="Arial Unicode MS" w:hAnsi="Times New Roman" w:cs="Times New Roman"/>
          <w:b/>
          <w:sz w:val="24"/>
          <w:szCs w:val="24"/>
        </w:rPr>
      </w:pPr>
      <w:r w:rsidRPr="00DD48CD">
        <w:rPr>
          <w:rFonts w:ascii="Times New Roman" w:eastAsia="Arial Unicode MS" w:hAnsi="Times New Roman" w:cs="Times New Roman"/>
          <w:b/>
          <w:sz w:val="24"/>
          <w:szCs w:val="24"/>
        </w:rPr>
        <w:br w:type="page"/>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36"/>
        <w:gridCol w:w="988"/>
        <w:gridCol w:w="887"/>
        <w:gridCol w:w="1266"/>
        <w:gridCol w:w="1105"/>
        <w:gridCol w:w="942"/>
        <w:gridCol w:w="988"/>
        <w:gridCol w:w="988"/>
        <w:gridCol w:w="988"/>
      </w:tblGrid>
      <w:tr w:rsidR="00F92C68" w:rsidRPr="00DD48CD" w:rsidTr="00EF61B4">
        <w:tc>
          <w:tcPr>
            <w:tcW w:w="9288" w:type="dxa"/>
            <w:gridSpan w:val="9"/>
            <w:vAlign w:val="center"/>
          </w:tcPr>
          <w:p w:rsidR="00F92C68" w:rsidRPr="00DD48CD" w:rsidRDefault="00F92C68" w:rsidP="00EF61B4">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lastRenderedPageBreak/>
              <w:t>9. OKVIR ZA PRAĆENJE, IZVJEŠTAVANJE I EVALUACIJU</w:t>
            </w:r>
          </w:p>
        </w:tc>
      </w:tr>
      <w:tr w:rsidR="00F92C68" w:rsidRPr="00DD48CD" w:rsidTr="00EF61B4">
        <w:tc>
          <w:tcPr>
            <w:tcW w:w="9288" w:type="dxa"/>
            <w:gridSpan w:val="9"/>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r w:rsidRPr="00DD48CD">
              <w:rPr>
                <w:rFonts w:ascii="Times New Roman" w:hAnsi="Times New Roman" w:cs="Times New Roman"/>
                <w:b/>
                <w:bCs/>
                <w:sz w:val="20"/>
                <w:szCs w:val="20"/>
              </w:rPr>
              <w:t>Opći/Posebni/Operativni cilj:</w:t>
            </w:r>
          </w:p>
        </w:tc>
      </w:tr>
      <w:tr w:rsidR="00F92C68" w:rsidRPr="00DD48CD" w:rsidTr="00EF61B4">
        <w:trPr>
          <w:trHeight w:val="2065"/>
        </w:trPr>
        <w:tc>
          <w:tcPr>
            <w:tcW w:w="1136"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Pokazatelji na nivou općeg, posebnih, i operativnih ciljeva, te odabranih najpovoljnih rješenja</w:t>
            </w:r>
          </w:p>
        </w:tc>
        <w:tc>
          <w:tcPr>
            <w:tcW w:w="988"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Definicija</w:t>
            </w:r>
          </w:p>
        </w:tc>
        <w:tc>
          <w:tcPr>
            <w:tcW w:w="887"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Jedinica mjere</w:t>
            </w:r>
            <w:r w:rsidRPr="00DD48CD">
              <w:rPr>
                <w:rStyle w:val="FootnoteReference"/>
                <w:rFonts w:ascii="Times New Roman" w:hAnsi="Times New Roman" w:cs="Times New Roman"/>
                <w:sz w:val="18"/>
                <w:szCs w:val="18"/>
              </w:rPr>
              <w:footnoteReference w:id="1"/>
            </w:r>
          </w:p>
        </w:tc>
        <w:tc>
          <w:tcPr>
            <w:tcW w:w="1266"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Disagregacija</w:t>
            </w:r>
            <w:r w:rsidRPr="00DD48CD">
              <w:rPr>
                <w:rStyle w:val="FootnoteReference"/>
                <w:rFonts w:ascii="Times New Roman" w:hAnsi="Times New Roman" w:cs="Times New Roman"/>
                <w:sz w:val="18"/>
                <w:szCs w:val="18"/>
              </w:rPr>
              <w:footnoteReference w:id="2"/>
            </w:r>
          </w:p>
        </w:tc>
        <w:tc>
          <w:tcPr>
            <w:tcW w:w="1105"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Izvor i način prikupljanja</w:t>
            </w:r>
          </w:p>
        </w:tc>
        <w:tc>
          <w:tcPr>
            <w:tcW w:w="942"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Kvaliteta podataka</w:t>
            </w:r>
          </w:p>
        </w:tc>
        <w:tc>
          <w:tcPr>
            <w:tcW w:w="988"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Polazna vrijednost 2017. (t)</w:t>
            </w:r>
          </w:p>
        </w:tc>
        <w:tc>
          <w:tcPr>
            <w:tcW w:w="988"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Ciljana vrijednost 2018. (t+1)</w:t>
            </w:r>
          </w:p>
        </w:tc>
        <w:tc>
          <w:tcPr>
            <w:tcW w:w="988" w:type="dxa"/>
            <w:shd w:val="clear" w:color="auto" w:fill="DBE5F1" w:themeFill="accent1" w:themeFillTint="33"/>
            <w:vAlign w:val="center"/>
          </w:tcPr>
          <w:p w:rsidR="00F92C68" w:rsidRPr="00DD48CD" w:rsidRDefault="00F92C68" w:rsidP="00EF61B4">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Ciljana</w:t>
            </w:r>
            <w:r w:rsidRPr="00DD48CD">
              <w:rPr>
                <w:rStyle w:val="FootnoteReference"/>
                <w:rFonts w:ascii="Times New Roman" w:hAnsi="Times New Roman" w:cs="Times New Roman"/>
                <w:sz w:val="18"/>
                <w:szCs w:val="18"/>
              </w:rPr>
              <w:footnoteReference w:id="3"/>
            </w:r>
            <w:r w:rsidRPr="00DD48CD">
              <w:rPr>
                <w:rFonts w:ascii="Times New Roman" w:hAnsi="Times New Roman" w:cs="Times New Roman"/>
                <w:sz w:val="18"/>
                <w:szCs w:val="18"/>
              </w:rPr>
              <w:t xml:space="preserve"> vrijednost 2019. (t+2)</w:t>
            </w:r>
          </w:p>
        </w:tc>
      </w:tr>
      <w:tr w:rsidR="00F92C68" w:rsidRPr="00DD48CD" w:rsidTr="00EF61B4">
        <w:tc>
          <w:tcPr>
            <w:tcW w:w="113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887"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26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105"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42"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r>
      <w:tr w:rsidR="00F92C68" w:rsidRPr="00DD48CD" w:rsidTr="00EF61B4">
        <w:tc>
          <w:tcPr>
            <w:tcW w:w="113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887"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26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105"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42"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r>
      <w:tr w:rsidR="00F92C68" w:rsidRPr="00DD48CD" w:rsidTr="00EF61B4">
        <w:tc>
          <w:tcPr>
            <w:tcW w:w="113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887"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26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105"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42"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r>
      <w:tr w:rsidR="00F92C68" w:rsidRPr="00DD48CD" w:rsidTr="00EF61B4">
        <w:tc>
          <w:tcPr>
            <w:tcW w:w="113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887"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26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105"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42"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r>
      <w:tr w:rsidR="00F92C68" w:rsidRPr="00DD48CD" w:rsidTr="00EF61B4">
        <w:tc>
          <w:tcPr>
            <w:tcW w:w="113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887"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26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105"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42"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r>
      <w:tr w:rsidR="00F92C68" w:rsidRPr="00DD48CD" w:rsidTr="00EF61B4">
        <w:tc>
          <w:tcPr>
            <w:tcW w:w="113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887"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266"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1105"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42"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c>
          <w:tcPr>
            <w:tcW w:w="988" w:type="dxa"/>
          </w:tcPr>
          <w:p w:rsidR="00F92C68" w:rsidRPr="00DD48CD" w:rsidRDefault="00F92C68" w:rsidP="00EF61B4">
            <w:pPr>
              <w:spacing w:before="120" w:after="120"/>
              <w:jc w:val="both"/>
              <w:rPr>
                <w:rFonts w:ascii="Times New Roman" w:eastAsia="Arial Unicode MS" w:hAnsi="Times New Roman" w:cs="Times New Roman"/>
                <w:bCs/>
                <w:caps/>
                <w:sz w:val="20"/>
                <w:szCs w:val="20"/>
                <w:lang w:eastAsia="ja-JP"/>
              </w:rPr>
            </w:pPr>
          </w:p>
        </w:tc>
      </w:tr>
      <w:tr w:rsidR="00F92C68" w:rsidRPr="00DD48CD" w:rsidTr="00EF61B4">
        <w:tc>
          <w:tcPr>
            <w:tcW w:w="9288" w:type="dxa"/>
            <w:gridSpan w:val="9"/>
            <w:vAlign w:val="center"/>
          </w:tcPr>
          <w:p w:rsidR="00F92C68" w:rsidRPr="00DD48CD" w:rsidRDefault="00F92C68" w:rsidP="00EF61B4">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 xml:space="preserve">U skladu sa </w:t>
            </w:r>
            <w:r>
              <w:rPr>
                <w:rFonts w:ascii="Times New Roman" w:eastAsia="Arial Unicode MS" w:hAnsi="Times New Roman" w:cs="Times New Roman"/>
                <w:bCs/>
                <w:i/>
                <w:sz w:val="20"/>
                <w:szCs w:val="20"/>
                <w:lang w:eastAsia="ja-JP"/>
              </w:rPr>
              <w:t>čl.</w:t>
            </w:r>
            <w:r w:rsidRPr="00DD48CD">
              <w:rPr>
                <w:rFonts w:ascii="Times New Roman" w:eastAsia="Arial Unicode MS" w:hAnsi="Times New Roman" w:cs="Times New Roman"/>
                <w:bCs/>
                <w:i/>
                <w:sz w:val="20"/>
                <w:szCs w:val="20"/>
                <w:lang w:eastAsia="ja-JP"/>
              </w:rPr>
              <w:t xml:space="preserve"> od 23. do 29. Aneksa I utvrdite okvir za praćenje, izvještavanje i evaluaciju. Pokazatelji se utvrđuju i predstavljaju u okviru gornje tabele. U zavisnosti od broja ciljeva, po potrebi proširite tabelu..</w:t>
            </w:r>
          </w:p>
        </w:tc>
      </w:tr>
      <w:tr w:rsidR="00F92C68" w:rsidRPr="00DD48CD" w:rsidTr="00EF61B4">
        <w:tc>
          <w:tcPr>
            <w:tcW w:w="9288" w:type="dxa"/>
            <w:gridSpan w:val="9"/>
            <w:vAlign w:val="center"/>
          </w:tcPr>
          <w:p w:rsidR="00F92C68" w:rsidRPr="00DD48CD" w:rsidRDefault="00F92C68" w:rsidP="00EF61B4">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10. ZAKLJUČAK</w:t>
            </w:r>
          </w:p>
        </w:tc>
      </w:tr>
      <w:tr w:rsidR="00F92C68" w:rsidRPr="00DD48CD" w:rsidTr="00EF61B4">
        <w:tc>
          <w:tcPr>
            <w:tcW w:w="9288" w:type="dxa"/>
            <w:gridSpan w:val="9"/>
            <w:vAlign w:val="center"/>
          </w:tcPr>
          <w:p w:rsidR="00F92C68" w:rsidRPr="00DD48CD" w:rsidRDefault="00F92C68" w:rsidP="00EF61B4">
            <w:pPr>
              <w:spacing w:after="0" w:line="240" w:lineRule="auto"/>
              <w:rPr>
                <w:rFonts w:ascii="Times New Roman" w:eastAsia="Arial Unicode MS" w:hAnsi="Times New Roman" w:cs="Times New Roman"/>
                <w:b/>
                <w:bCs/>
                <w:i/>
                <w:sz w:val="20"/>
                <w:szCs w:val="20"/>
                <w:lang w:eastAsia="ja-JP"/>
              </w:rPr>
            </w:pPr>
            <w:r w:rsidRPr="00DD48CD">
              <w:rPr>
                <w:rFonts w:ascii="Times New Roman" w:eastAsia="Arial Unicode MS" w:hAnsi="Times New Roman" w:cs="Times New Roman"/>
                <w:bCs/>
                <w:i/>
                <w:sz w:val="20"/>
                <w:szCs w:val="20"/>
                <w:lang w:eastAsia="ja-JP"/>
              </w:rPr>
              <w:t>U zaključku je potrebno sažeto predstaviti ukupne rezultate provedene procjene uticaja propisa, osvrnuti se na analizu koristi i troškova, te rezultate konsultacija. S tim u vezi, navode se odabrana najpovoljnija rješenja i upućuje u dalju proceduru razmatranja i donošenja/usvajanja.</w:t>
            </w:r>
          </w:p>
        </w:tc>
      </w:tr>
    </w:tbl>
    <w:p w:rsidR="00F92C68" w:rsidRPr="00DD48CD" w:rsidRDefault="00F92C68" w:rsidP="00F92C68">
      <w:pPr>
        <w:spacing w:before="360" w:after="120" w:line="240" w:lineRule="auto"/>
        <w:jc w:val="right"/>
        <w:rPr>
          <w:rFonts w:ascii="Times New Roman" w:hAnsi="Times New Roman"/>
          <w:i/>
          <w:sz w:val="24"/>
          <w:szCs w:val="24"/>
        </w:rPr>
      </w:pPr>
      <w:r w:rsidRPr="00DD48CD">
        <w:rPr>
          <w:rFonts w:ascii="Times New Roman" w:hAnsi="Times New Roman"/>
          <w:i/>
          <w:sz w:val="24"/>
          <w:szCs w:val="24"/>
        </w:rPr>
        <w:t>POTPIS RUKOVODIOCA INSTITUCIJE BiH</w:t>
      </w:r>
    </w:p>
    <w:p w:rsidR="001F398A" w:rsidRDefault="001F398A">
      <w:bookmarkStart w:id="0" w:name="_GoBack"/>
      <w:bookmarkEnd w:id="0"/>
    </w:p>
    <w:sectPr w:rsidR="001F39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C3" w:rsidRDefault="00F828C3" w:rsidP="00F92C68">
      <w:pPr>
        <w:spacing w:after="0" w:line="240" w:lineRule="auto"/>
      </w:pPr>
      <w:r>
        <w:separator/>
      </w:r>
    </w:p>
  </w:endnote>
  <w:endnote w:type="continuationSeparator" w:id="0">
    <w:p w:rsidR="00F828C3" w:rsidRDefault="00F828C3" w:rsidP="00F9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C3" w:rsidRDefault="00F828C3" w:rsidP="00F92C68">
      <w:pPr>
        <w:spacing w:after="0" w:line="240" w:lineRule="auto"/>
      </w:pPr>
      <w:r>
        <w:separator/>
      </w:r>
    </w:p>
  </w:footnote>
  <w:footnote w:type="continuationSeparator" w:id="0">
    <w:p w:rsidR="00F828C3" w:rsidRDefault="00F828C3" w:rsidP="00F92C68">
      <w:pPr>
        <w:spacing w:after="0" w:line="240" w:lineRule="auto"/>
      </w:pPr>
      <w:r>
        <w:continuationSeparator/>
      </w:r>
    </w:p>
  </w:footnote>
  <w:footnote w:id="1">
    <w:p w:rsidR="00F92C68" w:rsidRPr="00815D06" w:rsidRDefault="00F92C68" w:rsidP="00F92C68">
      <w:pPr>
        <w:pStyle w:val="FootnoteText"/>
        <w:jc w:val="both"/>
        <w:rPr>
          <w:rFonts w:ascii="Times New Roman" w:hAnsi="Times New Roman" w:cs="Times New Roman"/>
          <w:lang w:val="bs-Latn-BA"/>
        </w:rPr>
      </w:pPr>
      <w:r w:rsidRPr="00815D06">
        <w:rPr>
          <w:rStyle w:val="FootnoteReference"/>
          <w:rFonts w:ascii="Times New Roman" w:hAnsi="Times New Roman" w:cs="Times New Roman"/>
          <w:lang w:val="bs-Latn-BA"/>
        </w:rPr>
        <w:footnoteRef/>
      </w:r>
      <w:r w:rsidRPr="00815D06">
        <w:rPr>
          <w:rFonts w:ascii="Times New Roman" w:hAnsi="Times New Roman" w:cs="Times New Roman"/>
          <w:lang w:val="bs-Latn-BA"/>
        </w:rPr>
        <w:t xml:space="preserve"> Kako bi pokazatelj bio mjerljiv, potrebno je utvrditi odgovarajuću jedinicu mjere koja može npr. biti broj, postotak i sl.</w:t>
      </w:r>
    </w:p>
  </w:footnote>
  <w:footnote w:id="2">
    <w:p w:rsidR="00F92C68" w:rsidRPr="00815D06" w:rsidRDefault="00F92C68" w:rsidP="00F92C68">
      <w:pPr>
        <w:pStyle w:val="FootnoteText"/>
        <w:jc w:val="both"/>
        <w:rPr>
          <w:rFonts w:ascii="Times New Roman" w:hAnsi="Times New Roman" w:cs="Times New Roman"/>
          <w:lang w:val="bs-Latn-BA"/>
        </w:rPr>
      </w:pPr>
      <w:r w:rsidRPr="00815D06">
        <w:rPr>
          <w:rStyle w:val="FootnoteReference"/>
          <w:rFonts w:ascii="Times New Roman" w:hAnsi="Times New Roman" w:cs="Times New Roman"/>
          <w:lang w:val="bs-Latn-BA"/>
        </w:rPr>
        <w:footnoteRef/>
      </w:r>
      <w:r w:rsidRPr="00815D06">
        <w:rPr>
          <w:rFonts w:ascii="Times New Roman" w:hAnsi="Times New Roman" w:cs="Times New Roman"/>
          <w:lang w:val="bs-Latn-BA"/>
        </w:rPr>
        <w:t xml:space="preserve"> </w:t>
      </w:r>
      <w:r w:rsidRPr="00815D06">
        <w:rPr>
          <w:rFonts w:ascii="Times New Roman" w:hAnsi="Times New Roman" w:cs="Times New Roman"/>
          <w:lang w:val="bs-Latn-BA"/>
        </w:rPr>
        <w:t xml:space="preserve">Disagregacija </w:t>
      </w:r>
      <w:r w:rsidRPr="00815D06">
        <w:rPr>
          <w:rFonts w:ascii="Times New Roman" w:hAnsi="Times New Roman" w:cs="Times New Roman"/>
          <w:lang w:val="bs-Latn-BA"/>
        </w:rPr>
        <w:t>pokazatelja je postupak koji se koristi kako bi se bolje razumjeli efekti propisa na različite grupe. Pokazatelji koji se odnose na ljude bi trebali biti razvrstani po polu. To ne mora istovremeno značiti da su i rodno osjetljivi i obratno, npr. broj porodilja se ne može razvrstati po polu, ali je rodno osjetljiv pokazatelj. Za institucije BiH ključna je disagregacija</w:t>
      </w:r>
      <w:r>
        <w:rPr>
          <w:rFonts w:ascii="Times New Roman" w:hAnsi="Times New Roman" w:cs="Times New Roman"/>
          <w:lang w:val="bs-Latn-BA"/>
        </w:rPr>
        <w:t xml:space="preserve"> po nivoima vlasti (entiteti, Brčko distrikt</w:t>
      </w:r>
      <w:r w:rsidRPr="00815D06">
        <w:rPr>
          <w:rFonts w:ascii="Times New Roman" w:hAnsi="Times New Roman" w:cs="Times New Roman"/>
          <w:lang w:val="bs-Latn-BA"/>
        </w:rPr>
        <w:t xml:space="preserve"> </w:t>
      </w:r>
      <w:proofErr w:type="spellStart"/>
      <w:r w:rsidRPr="00EB7CB3">
        <w:rPr>
          <w:rFonts w:ascii="Times New Roman" w:eastAsia="Times New Roman" w:hAnsi="Times New Roman" w:cs="Times New Roman"/>
          <w:bCs/>
        </w:rPr>
        <w:t>Bosne</w:t>
      </w:r>
      <w:proofErr w:type="spellEnd"/>
      <w:r w:rsidRPr="00EB7CB3">
        <w:rPr>
          <w:rFonts w:ascii="Times New Roman" w:eastAsia="Times New Roman" w:hAnsi="Times New Roman" w:cs="Times New Roman"/>
          <w:bCs/>
        </w:rPr>
        <w:t xml:space="preserve"> </w:t>
      </w:r>
      <w:proofErr w:type="spellStart"/>
      <w:r w:rsidRPr="00EB7CB3">
        <w:rPr>
          <w:rFonts w:ascii="Times New Roman" w:eastAsia="Times New Roman" w:hAnsi="Times New Roman" w:cs="Times New Roman"/>
          <w:bCs/>
        </w:rPr>
        <w:t>i</w:t>
      </w:r>
      <w:proofErr w:type="spellEnd"/>
      <w:r w:rsidRPr="00EB7CB3">
        <w:rPr>
          <w:rFonts w:ascii="Times New Roman" w:eastAsia="Times New Roman" w:hAnsi="Times New Roman" w:cs="Times New Roman"/>
          <w:bCs/>
        </w:rPr>
        <w:t xml:space="preserve"> </w:t>
      </w:r>
      <w:proofErr w:type="spellStart"/>
      <w:r w:rsidRPr="00EB7CB3">
        <w:rPr>
          <w:rFonts w:ascii="Times New Roman" w:eastAsia="Times New Roman" w:hAnsi="Times New Roman" w:cs="Times New Roman"/>
          <w:bCs/>
        </w:rPr>
        <w:t>Hercegovine</w:t>
      </w:r>
      <w:proofErr w:type="spellEnd"/>
      <w:r w:rsidRPr="00815D06">
        <w:rPr>
          <w:rFonts w:ascii="Times New Roman" w:hAnsi="Times New Roman" w:cs="Times New Roman"/>
          <w:lang w:val="bs-Latn-BA"/>
        </w:rPr>
        <w:t>), a za same entitete disagregacija po kantonima i općinama u F</w:t>
      </w:r>
      <w:r>
        <w:rPr>
          <w:rFonts w:ascii="Times New Roman" w:hAnsi="Times New Roman" w:cs="Times New Roman"/>
          <w:lang w:val="bs-Latn-BA"/>
        </w:rPr>
        <w:t xml:space="preserve">ederaciji </w:t>
      </w:r>
      <w:proofErr w:type="spellStart"/>
      <w:r w:rsidRPr="00EB7CB3">
        <w:rPr>
          <w:rFonts w:ascii="Times New Roman" w:eastAsia="Times New Roman" w:hAnsi="Times New Roman" w:cs="Times New Roman"/>
          <w:bCs/>
        </w:rPr>
        <w:t>Bosne</w:t>
      </w:r>
      <w:proofErr w:type="spellEnd"/>
      <w:r w:rsidRPr="00EB7CB3">
        <w:rPr>
          <w:rFonts w:ascii="Times New Roman" w:eastAsia="Times New Roman" w:hAnsi="Times New Roman" w:cs="Times New Roman"/>
          <w:bCs/>
        </w:rPr>
        <w:t xml:space="preserve"> </w:t>
      </w:r>
      <w:proofErr w:type="spellStart"/>
      <w:r w:rsidRPr="00EB7CB3">
        <w:rPr>
          <w:rFonts w:ascii="Times New Roman" w:eastAsia="Times New Roman" w:hAnsi="Times New Roman" w:cs="Times New Roman"/>
          <w:bCs/>
        </w:rPr>
        <w:t>i</w:t>
      </w:r>
      <w:proofErr w:type="spellEnd"/>
      <w:r w:rsidRPr="00EB7CB3">
        <w:rPr>
          <w:rFonts w:ascii="Times New Roman" w:eastAsia="Times New Roman" w:hAnsi="Times New Roman" w:cs="Times New Roman"/>
          <w:bCs/>
        </w:rPr>
        <w:t xml:space="preserve"> </w:t>
      </w:r>
      <w:proofErr w:type="spellStart"/>
      <w:r w:rsidRPr="00EB7CB3">
        <w:rPr>
          <w:rFonts w:ascii="Times New Roman" w:eastAsia="Times New Roman" w:hAnsi="Times New Roman" w:cs="Times New Roman"/>
          <w:bCs/>
        </w:rPr>
        <w:t>Hercegovine</w:t>
      </w:r>
      <w:proofErr w:type="spellEnd"/>
      <w:r w:rsidRPr="00815D06">
        <w:rPr>
          <w:rFonts w:ascii="Times New Roman" w:hAnsi="Times New Roman" w:cs="Times New Roman"/>
          <w:lang w:val="bs-Latn-BA"/>
        </w:rPr>
        <w:t xml:space="preserve">, odnosno po općinama u </w:t>
      </w:r>
      <w:r>
        <w:rPr>
          <w:rFonts w:ascii="Times New Roman" w:hAnsi="Times New Roman" w:cs="Times New Roman"/>
          <w:lang w:val="bs-Latn-BA"/>
        </w:rPr>
        <w:t>Republici Srpskoj</w:t>
      </w:r>
      <w:r w:rsidRPr="00815D06">
        <w:rPr>
          <w:rFonts w:ascii="Times New Roman" w:hAnsi="Times New Roman" w:cs="Times New Roman"/>
          <w:lang w:val="bs-Latn-BA"/>
        </w:rPr>
        <w:t>. Potrebno je razmotriti mogućnost prikupljanja dodatnih podataka za podkatergorije muškaraca i žena koje su u višestruko ranjivom položaju. Npr. za broj nezaposlenih porodilja koje su ostvarile pravo na porodiljnu naknadu, disagregacija može biti na Romkinje, samohrane majke, že</w:t>
      </w:r>
      <w:r>
        <w:rPr>
          <w:rFonts w:ascii="Times New Roman" w:hAnsi="Times New Roman" w:cs="Times New Roman"/>
          <w:lang w:val="bs-Latn-BA"/>
        </w:rPr>
        <w:t>ne s invaliditetom i sl. Takođe</w:t>
      </w:r>
      <w:r w:rsidRPr="00815D06">
        <w:rPr>
          <w:rFonts w:ascii="Times New Roman" w:hAnsi="Times New Roman" w:cs="Times New Roman"/>
          <w:lang w:val="bs-Latn-BA"/>
        </w:rPr>
        <w:t xml:space="preserve">, npr. za pokazatelj postotak samohranih roditelja koji su kroz socijalne transfere prešli socijalni minimum u </w:t>
      </w:r>
      <w:proofErr w:type="spellStart"/>
      <w:r>
        <w:rPr>
          <w:rFonts w:ascii="Times New Roman" w:eastAsia="Times New Roman" w:hAnsi="Times New Roman" w:cs="Times New Roman"/>
          <w:bCs/>
        </w:rPr>
        <w:t>Bosni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Hercegovini</w:t>
      </w:r>
      <w:proofErr w:type="spellEnd"/>
      <w:r w:rsidRPr="00815D06">
        <w:rPr>
          <w:rFonts w:ascii="Times New Roman" w:hAnsi="Times New Roman" w:cs="Times New Roman"/>
          <w:lang w:val="bs-Latn-BA"/>
        </w:rPr>
        <w:t xml:space="preserve">, disagregacija </w:t>
      </w:r>
      <w:r>
        <w:rPr>
          <w:rFonts w:ascii="Times New Roman" w:hAnsi="Times New Roman" w:cs="Times New Roman"/>
          <w:lang w:val="bs-Latn-BA"/>
        </w:rPr>
        <w:t>bi trebala biti po polu. Ključno</w:t>
      </w:r>
      <w:r w:rsidRPr="00815D06">
        <w:rPr>
          <w:rFonts w:ascii="Times New Roman" w:hAnsi="Times New Roman" w:cs="Times New Roman"/>
          <w:lang w:val="bs-Latn-BA"/>
        </w:rPr>
        <w:t xml:space="preserve"> je da se i za svaki nivo disagregacije trebaju postaviti ciljane vrijednosti pokazatelja.</w:t>
      </w:r>
    </w:p>
  </w:footnote>
  <w:footnote w:id="3">
    <w:p w:rsidR="00F92C68" w:rsidRPr="00815D06" w:rsidRDefault="00F92C68" w:rsidP="00F92C68">
      <w:pPr>
        <w:pStyle w:val="FootnoteText"/>
        <w:jc w:val="both"/>
        <w:rPr>
          <w:rFonts w:ascii="Times New Roman" w:hAnsi="Times New Roman" w:cs="Times New Roman"/>
          <w:lang w:val="bs-Latn-BA"/>
        </w:rPr>
      </w:pPr>
      <w:r w:rsidRPr="00815D06">
        <w:rPr>
          <w:rStyle w:val="FootnoteReference"/>
          <w:rFonts w:ascii="Times New Roman" w:hAnsi="Times New Roman" w:cs="Times New Roman"/>
          <w:lang w:val="bs-Latn-BA"/>
        </w:rPr>
        <w:footnoteRef/>
      </w:r>
      <w:r w:rsidRPr="00815D06">
        <w:rPr>
          <w:rFonts w:ascii="Times New Roman" w:hAnsi="Times New Roman" w:cs="Times New Roman"/>
          <w:lang w:val="bs-Latn-BA"/>
        </w:rPr>
        <w:t xml:space="preserve"> </w:t>
      </w:r>
      <w:r w:rsidRPr="00815D06">
        <w:rPr>
          <w:rFonts w:ascii="Times New Roman" w:hAnsi="Times New Roman" w:cs="Times New Roman"/>
          <w:lang w:val="bs-Latn-BA"/>
        </w:rPr>
        <w:t xml:space="preserve">Ciljane </w:t>
      </w:r>
      <w:r w:rsidRPr="00815D06">
        <w:rPr>
          <w:rFonts w:ascii="Times New Roman" w:hAnsi="Times New Roman" w:cs="Times New Roman"/>
          <w:lang w:val="bs-Latn-BA"/>
        </w:rPr>
        <w:t>vrijednosti pokazatelja trebaju biti dovoljno ambiciozne da bi se uopće opravdalo ulaganje sredstava, ali s druge strane ne preambiciozne. U određenim slučajevima, ciljane vrijednosti su već utvrđene određenom strategijom Vijeća ministara ili npr. od strane Evropske unije.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68"/>
    <w:rsid w:val="001F398A"/>
    <w:rsid w:val="00F828C3"/>
    <w:rsid w:val="00F92C6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Footnote Text Char1,Fußnotentext Char Char2 Char,Char Char1 Char2 Char,Fußnotentext Char Char Char1 Char,Char Char1 Char Char1 Char,Footnote Text1,Footnotes,ALTS FOOTNOTE"/>
    <w:basedOn w:val="Normal"/>
    <w:link w:val="FootnoteTextChar"/>
    <w:uiPriority w:val="99"/>
    <w:unhideWhenUsed/>
    <w:rsid w:val="00F92C68"/>
    <w:pPr>
      <w:spacing w:after="0" w:line="240" w:lineRule="auto"/>
    </w:pPr>
    <w:rPr>
      <w:rFonts w:eastAsiaTheme="minorEastAsia"/>
      <w:sz w:val="20"/>
      <w:szCs w:val="20"/>
      <w:lang w:val="en-US" w:eastAsia="bs-Latn-BA"/>
    </w:rPr>
  </w:style>
  <w:style w:type="character" w:customStyle="1" w:styleId="FootnoteTextChar">
    <w:name w:val="Footnote Text Char"/>
    <w:aliases w:val="Footnote Text Char Char Char Char,Footnote Text Char Char Char1,Fußnote Char,Footnote Text Char1 Char,Fußnotentext Char Char2 Char Char,Char Char1 Char2 Char Char,Fußnotentext Char Char Char1 Char Char,Char Char1 Char Char1 Char Char"/>
    <w:basedOn w:val="DefaultParagraphFont"/>
    <w:link w:val="FootnoteText"/>
    <w:uiPriority w:val="99"/>
    <w:rsid w:val="00F92C68"/>
    <w:rPr>
      <w:rFonts w:eastAsiaTheme="minorEastAsia"/>
      <w:sz w:val="20"/>
      <w:szCs w:val="20"/>
      <w:lang w:val="en-US" w:eastAsia="bs-Latn-BA"/>
    </w:rPr>
  </w:style>
  <w:style w:type="character" w:styleId="FootnoteReference">
    <w:name w:val="footnote reference"/>
    <w:aliases w:val="BVI fnr,Footnote symbol,Footnote reference number,ftref,Footnote Reference Superscript"/>
    <w:basedOn w:val="DefaultParagraphFont"/>
    <w:uiPriority w:val="99"/>
    <w:unhideWhenUsed/>
    <w:rsid w:val="00F92C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Footnote Text Char1,Fußnotentext Char Char2 Char,Char Char1 Char2 Char,Fußnotentext Char Char Char1 Char,Char Char1 Char Char1 Char,Footnote Text1,Footnotes,ALTS FOOTNOTE"/>
    <w:basedOn w:val="Normal"/>
    <w:link w:val="FootnoteTextChar"/>
    <w:uiPriority w:val="99"/>
    <w:unhideWhenUsed/>
    <w:rsid w:val="00F92C68"/>
    <w:pPr>
      <w:spacing w:after="0" w:line="240" w:lineRule="auto"/>
    </w:pPr>
    <w:rPr>
      <w:rFonts w:eastAsiaTheme="minorEastAsia"/>
      <w:sz w:val="20"/>
      <w:szCs w:val="20"/>
      <w:lang w:val="en-US" w:eastAsia="bs-Latn-BA"/>
    </w:rPr>
  </w:style>
  <w:style w:type="character" w:customStyle="1" w:styleId="FootnoteTextChar">
    <w:name w:val="Footnote Text Char"/>
    <w:aliases w:val="Footnote Text Char Char Char Char,Footnote Text Char Char Char1,Fußnote Char,Footnote Text Char1 Char,Fußnotentext Char Char2 Char Char,Char Char1 Char2 Char Char,Fußnotentext Char Char Char1 Char Char,Char Char1 Char Char1 Char Char"/>
    <w:basedOn w:val="DefaultParagraphFont"/>
    <w:link w:val="FootnoteText"/>
    <w:uiPriority w:val="99"/>
    <w:rsid w:val="00F92C68"/>
    <w:rPr>
      <w:rFonts w:eastAsiaTheme="minorEastAsia"/>
      <w:sz w:val="20"/>
      <w:szCs w:val="20"/>
      <w:lang w:val="en-US" w:eastAsia="bs-Latn-BA"/>
    </w:rPr>
  </w:style>
  <w:style w:type="character" w:styleId="FootnoteReference">
    <w:name w:val="footnote reference"/>
    <w:aliases w:val="BVI fnr,Footnote symbol,Footnote reference number,ftref,Footnote Reference Superscript"/>
    <w:basedOn w:val="DefaultParagraphFont"/>
    <w:uiPriority w:val="99"/>
    <w:unhideWhenUsed/>
    <w:rsid w:val="00F9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Grubešić</dc:creator>
  <cp:lastModifiedBy>Niko Grubešić</cp:lastModifiedBy>
  <cp:revision>1</cp:revision>
  <dcterms:created xsi:type="dcterms:W3CDTF">2018-02-22T15:24:00Z</dcterms:created>
  <dcterms:modified xsi:type="dcterms:W3CDTF">2018-02-22T15:25:00Z</dcterms:modified>
</cp:coreProperties>
</file>