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68"/>
        <w:gridCol w:w="1980"/>
        <w:gridCol w:w="3708"/>
      </w:tblGrid>
      <w:tr w:rsidR="0019430B" w:rsidRPr="005B596B" w14:paraId="3F41AB0D" w14:textId="77777777" w:rsidTr="009D6297">
        <w:trPr>
          <w:cantSplit/>
          <w:trHeight w:val="441"/>
          <w:jc w:val="center"/>
        </w:trPr>
        <w:tc>
          <w:tcPr>
            <w:tcW w:w="3168" w:type="dxa"/>
          </w:tcPr>
          <w:p w14:paraId="09AC86B4" w14:textId="77777777" w:rsidR="0019430B" w:rsidRPr="005B596B" w:rsidRDefault="0019430B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  <w:p w14:paraId="3AB854CC" w14:textId="3CAC8CDF" w:rsidR="0019430B" w:rsidRPr="005B596B" w:rsidRDefault="009D6297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Bosna i Hercegovina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4C99F2CC" w14:textId="77777777" w:rsidR="0019430B" w:rsidRPr="005B596B" w:rsidRDefault="0019430B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6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bs-Latn-BA"/>
              </w:rPr>
              <w:t xml:space="preserve">  </w:t>
            </w:r>
            <w:r w:rsidRPr="005B596B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eastAsia="bs-Latn-BA"/>
              </w:rPr>
              <w:drawing>
                <wp:inline distT="0" distB="0" distL="0" distR="0" wp14:anchorId="7394D090" wp14:editId="2F122065">
                  <wp:extent cx="523875" cy="571500"/>
                  <wp:effectExtent l="0" t="0" r="9525" b="0"/>
                  <wp:docPr id="1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ta:image/png;base64,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</w:tcPr>
          <w:p w14:paraId="49044A09" w14:textId="77777777" w:rsidR="0019430B" w:rsidRPr="005B596B" w:rsidRDefault="0019430B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hr-HR"/>
              </w:rPr>
            </w:pPr>
          </w:p>
          <w:p w14:paraId="44991183" w14:textId="6CB77B76" w:rsidR="0019430B" w:rsidRPr="005B596B" w:rsidRDefault="009A2ED5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Босна и Херцеговина</w:t>
            </w:r>
          </w:p>
        </w:tc>
      </w:tr>
      <w:tr w:rsidR="0019430B" w:rsidRPr="005B596B" w14:paraId="2C70846B" w14:textId="77777777" w:rsidTr="009D6297">
        <w:trPr>
          <w:cantSplit/>
          <w:trHeight w:val="521"/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14:paraId="554BF11B" w14:textId="7A4688E9" w:rsidR="0019430B" w:rsidRPr="005B596B" w:rsidRDefault="009D6297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MINISTARTSVO PRAVDE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D6D7B6A" w14:textId="77777777" w:rsidR="0019430B" w:rsidRPr="005B596B" w:rsidRDefault="0019430B" w:rsidP="009D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4C246CD8" w14:textId="191DC0BF" w:rsidR="0019430B" w:rsidRPr="005B596B" w:rsidRDefault="009A2ED5" w:rsidP="009D62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МИНИСТАРСТВО ПРАВДЕ</w:t>
            </w:r>
          </w:p>
        </w:tc>
      </w:tr>
    </w:tbl>
    <w:p w14:paraId="25BE4910" w14:textId="535597A6" w:rsidR="00441974" w:rsidRPr="00C77FF0" w:rsidRDefault="00E95EE5" w:rsidP="005B596B">
      <w:pPr>
        <w:spacing w:before="120" w:after="0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</w:t>
      </w:r>
      <w:r w:rsidR="005B596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:11-</w:t>
      </w:r>
      <w:r w:rsidR="0079600C" w:rsidRPr="0079600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50-1472/22</w:t>
      </w:r>
    </w:p>
    <w:p w14:paraId="1005B9B7" w14:textId="5C81168A" w:rsidR="00441974" w:rsidRPr="00C77FF0" w:rsidRDefault="00E95EE5" w:rsidP="00C77FF0">
      <w:pPr>
        <w:spacing w:after="540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Sarajevo</w:t>
      </w:r>
      <w:r w:rsidR="001A5C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 25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 07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2022</w:t>
      </w:r>
      <w:r w:rsidR="0044197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</w:p>
    <w:p w14:paraId="46B25F39" w14:textId="3DA23E8A" w:rsidR="00E034AB" w:rsidRPr="005B596B" w:rsidRDefault="00E95EE5" w:rsidP="00C77FF0">
      <w:pPr>
        <w:spacing w:after="0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IZVJEŠTAJ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O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EVALUACIJI</w:t>
      </w:r>
    </w:p>
    <w:p w14:paraId="43FBDAF5" w14:textId="7C9A9D7B" w:rsidR="00E034AB" w:rsidRDefault="00E95EE5" w:rsidP="00C77FF0">
      <w:pPr>
        <w:spacing w:after="540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SREDNjOROČNOG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PLANA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RADA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MINISTARSTVA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PRAVDE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 w:rsidR="002C5DC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br/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BOSNE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I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HERCEGOVINE</w:t>
      </w:r>
      <w:r w:rsidR="00CD57E4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ZA</w:t>
      </w:r>
      <w:r w:rsidR="00CD57E4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PERIOD</w:t>
      </w:r>
      <w:r w:rsidR="00CD57E4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OD</w:t>
      </w:r>
      <w:r w:rsidR="00CD57E4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2019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DO</w:t>
      </w:r>
      <w:r w:rsidR="00CD57E4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2021</w:t>
      </w:r>
      <w:r w:rsidR="00C77FF0" w:rsidRPr="005B596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GODINE</w:t>
      </w:r>
    </w:p>
    <w:p w14:paraId="300BCD42" w14:textId="77777777" w:rsidR="00074D18" w:rsidRPr="00147C2B" w:rsidRDefault="00074D18">
      <w:pP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147C2B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bs-Latn-BA"/>
        </w:rPr>
        <w:id w:val="-790740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4D7F45" w14:textId="5C89F3AE" w:rsidR="00B36F50" w:rsidRPr="00C77FF0" w:rsidRDefault="00E95EE5" w:rsidP="00074D18">
          <w:pPr>
            <w:pStyle w:val="TOCHeading"/>
            <w:spacing w:after="36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  <w:lang w:val="bs-Latn-BA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  <w:lang w:val="bs-Latn-BA"/>
            </w:rPr>
            <w:t>SADRŽAJ</w:t>
          </w:r>
        </w:p>
        <w:p w14:paraId="498300C9" w14:textId="2DE18E8F" w:rsidR="00A75413" w:rsidRDefault="00B36F5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r w:rsidRPr="007960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600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960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075066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1.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IZVRŠNI SAŽETAK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_Toc112075066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3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41C20A51" w14:textId="72B58AB1" w:rsidR="00A75413" w:rsidRDefault="008F34F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67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2.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SVRHA I CILj EVALUACIJE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_Toc112075067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4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4C12A376" w14:textId="618688BB" w:rsidR="00A75413" w:rsidRDefault="008F34F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68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3.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KONTEKST EVALUACIJE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_Toc112075068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4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0215BE23" w14:textId="6C256F0D" w:rsidR="00A75413" w:rsidRDefault="008F34F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69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4.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SREDNjOROČNI PLAN RADA MP BiH ZA PERIOD 2019. – 2021. GODINE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_Toc112075069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5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172BF725" w14:textId="0032C83E" w:rsidR="00A75413" w:rsidRDefault="008F34F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70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5.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POSTIGNUTI REZULTATI I DIJAGRAM LOGIČKE MAPE SPR MP BiH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_Toc112075070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9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0CB5034A" w14:textId="11E0AFB6" w:rsidR="00A75413" w:rsidRDefault="008F34F0">
          <w:pPr>
            <w:pStyle w:val="TO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71" w:history="1"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6.</w:t>
            </w:r>
            <w:r w:rsidR="00A75413">
              <w:rPr>
                <w:rFonts w:eastAsiaTheme="minorEastAsia"/>
                <w:noProof/>
                <w:lang w:val="en-US"/>
              </w:rPr>
              <w:tab/>
            </w:r>
            <w:r w:rsidR="00A75413" w:rsidRPr="00A36218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zh-TW" w:bidi="as-IN"/>
              </w:rPr>
              <w:t>ZAKLjUČCI I PREPORUKE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_Toc112075071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23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174BE4E2" w14:textId="672987A0" w:rsidR="00A75413" w:rsidRDefault="008F34F0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72" w:history="1">
            <w:r w:rsidR="00A75413" w:rsidRPr="00A36218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>PRILOG 1: SPISAK OSOBA SA KOJIMA JE OBAVLjEN INTERVJU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_Toc112075072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28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55987204" w14:textId="52696189" w:rsidR="00A75413" w:rsidRDefault="008F34F0">
          <w:pPr>
            <w:pStyle w:val="TOC1"/>
            <w:tabs>
              <w:tab w:val="right" w:leader="dot" w:pos="9060"/>
            </w:tabs>
            <w:rPr>
              <w:rFonts w:eastAsiaTheme="minorEastAsia"/>
              <w:noProof/>
              <w:lang w:val="en-US"/>
            </w:rPr>
          </w:pPr>
          <w:hyperlink w:anchor="_Toc112075073" w:history="1">
            <w:r w:rsidR="00A75413" w:rsidRPr="00A36218">
              <w:rPr>
                <w:rStyle w:val="Hyperlink"/>
                <w:rFonts w:ascii="Times New Roman" w:eastAsia="PMingLiU" w:hAnsi="Times New Roman" w:cs="Times New Roman"/>
                <w:b/>
                <w:noProof/>
                <w:lang w:eastAsia="zh-TW" w:bidi="as-IN"/>
              </w:rPr>
              <w:t>PRILOG 2: BIBLIOGRAFIJA</w:t>
            </w:r>
            <w:r w:rsidR="00A75413">
              <w:rPr>
                <w:noProof/>
                <w:webHidden/>
              </w:rPr>
              <w:tab/>
            </w:r>
            <w:r w:rsidR="00A75413">
              <w:rPr>
                <w:noProof/>
                <w:webHidden/>
              </w:rPr>
              <w:fldChar w:fldCharType="begin"/>
            </w:r>
            <w:r w:rsidR="00A75413">
              <w:rPr>
                <w:noProof/>
                <w:webHidden/>
              </w:rPr>
              <w:instrText xml:space="preserve"> PAGEREF _Toc112075073 \h </w:instrText>
            </w:r>
            <w:r w:rsidR="00A75413">
              <w:rPr>
                <w:noProof/>
                <w:webHidden/>
              </w:rPr>
            </w:r>
            <w:r w:rsidR="00A75413">
              <w:rPr>
                <w:noProof/>
                <w:webHidden/>
              </w:rPr>
              <w:fldChar w:fldCharType="separate"/>
            </w:r>
            <w:r w:rsidR="006918BA">
              <w:rPr>
                <w:noProof/>
                <w:webHidden/>
              </w:rPr>
              <w:t>29</w:t>
            </w:r>
            <w:r w:rsidR="00A75413">
              <w:rPr>
                <w:noProof/>
                <w:webHidden/>
              </w:rPr>
              <w:fldChar w:fldCharType="end"/>
            </w:r>
          </w:hyperlink>
        </w:p>
        <w:p w14:paraId="011DEBFC" w14:textId="216C0EDD" w:rsidR="00B36F50" w:rsidRPr="0079600C" w:rsidRDefault="00B36F50" w:rsidP="0079600C">
          <w:pPr>
            <w:pStyle w:val="TOC1"/>
            <w:tabs>
              <w:tab w:val="right" w:leader="dot" w:pos="9060"/>
            </w:tabs>
            <w:spacing w:after="240"/>
            <w:rPr>
              <w:rFonts w:ascii="Times New Roman" w:hAnsi="Times New Roman" w:cs="Times New Roman"/>
              <w:sz w:val="24"/>
              <w:szCs w:val="24"/>
            </w:rPr>
          </w:pPr>
          <w:r w:rsidRPr="0079600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3F2C41D" w14:textId="77777777" w:rsidR="00E034AB" w:rsidRPr="0079600C" w:rsidRDefault="00E034AB" w:rsidP="0079600C">
      <w:pPr>
        <w:pBdr>
          <w:bottom w:val="single" w:sz="12" w:space="1" w:color="auto"/>
        </w:pBdr>
        <w:spacing w:before="240"/>
        <w:rPr>
          <w:rFonts w:ascii="Times New Roman" w:eastAsia="PMingLiU" w:hAnsi="Times New Roman" w:cs="Times New Roman"/>
          <w:sz w:val="2"/>
          <w:szCs w:val="2"/>
          <w:lang w:eastAsia="zh-TW" w:bidi="as-IN"/>
        </w:rPr>
      </w:pPr>
    </w:p>
    <w:p w14:paraId="435A74C3" w14:textId="77777777" w:rsidR="00004C6D" w:rsidRPr="00C77FF0" w:rsidRDefault="00004C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TW" w:bidi="as-IN"/>
        </w:rPr>
      </w:pPr>
      <w:r w:rsidRPr="00C77F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TW" w:bidi="as-IN"/>
        </w:rPr>
        <w:br w:type="page"/>
      </w:r>
    </w:p>
    <w:p w14:paraId="003E3556" w14:textId="61FE8C7D" w:rsidR="00E034AB" w:rsidRPr="00B46F11" w:rsidRDefault="00E95EE5" w:rsidP="0052587F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1" w:name="_Toc112075066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IZVRŠNI</w:t>
      </w:r>
      <w:r w:rsidR="00504C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SAŽETAK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13AD" w:rsidRPr="009D6297" w14:paraId="34DFED55" w14:textId="77777777" w:rsidTr="009F13AD">
        <w:tc>
          <w:tcPr>
            <w:tcW w:w="9060" w:type="dxa"/>
          </w:tcPr>
          <w:p w14:paraId="6D90C535" w14:textId="1EED9931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Ministarstvo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pravde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Bosne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Hercegovine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9B7279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je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osnovano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2003. </w:t>
            </w:r>
            <w:r>
              <w:rPr>
                <w:rFonts w:ascii="Times New Roman" w:hAnsi="Times New Roman" w:cs="Times New Roman"/>
                <w:color w:val="000000"/>
              </w:rPr>
              <w:t>godine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Zakonom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ministarstvima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drugim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organima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uprave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Bosne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Hercegovine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(„</w:t>
            </w:r>
            <w:r>
              <w:rPr>
                <w:rFonts w:ascii="Times New Roman" w:hAnsi="Times New Roman" w:cs="Times New Roman"/>
                <w:color w:val="000000"/>
              </w:rPr>
              <w:t>Službeni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glasnik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BiH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“, </w:t>
            </w:r>
            <w:r>
              <w:rPr>
                <w:rFonts w:ascii="Times New Roman" w:hAnsi="Times New Roman" w:cs="Times New Roman"/>
                <w:color w:val="000000"/>
              </w:rPr>
              <w:t>broj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5/03, 42/03, 26/04, 42/04, 45/06, 88/07, 35/09, 103/09, 87/12, 6/13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19/16).</w:t>
            </w:r>
          </w:p>
          <w:p w14:paraId="65EA7F75" w14:textId="2BC85209" w:rsidR="00F76EAC" w:rsidRPr="009D6297" w:rsidRDefault="00E95EE5" w:rsidP="005E19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="007D7733" w:rsidRPr="009D62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na</w:t>
            </w:r>
            <w:r w:rsidR="007D7733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dan</w:t>
            </w:r>
            <w:r w:rsidR="007D7733" w:rsidRPr="009D6297">
              <w:rPr>
                <w:rFonts w:ascii="Times New Roman" w:hAnsi="Times New Roman" w:cs="Times New Roman"/>
              </w:rPr>
              <w:t xml:space="preserve"> 31. 12. 2021. </w:t>
            </w:r>
            <w:r>
              <w:rPr>
                <w:rFonts w:ascii="Times New Roman" w:hAnsi="Times New Roman" w:cs="Times New Roman"/>
              </w:rPr>
              <w:t>godine</w:t>
            </w:r>
            <w:r w:rsidR="007D7733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bilo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zaposleno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ukupno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 w:rsidR="00B47DB1" w:rsidRPr="009D6297">
              <w:rPr>
                <w:rFonts w:ascii="Times New Roman" w:hAnsi="Times New Roman" w:cs="Times New Roman"/>
              </w:rPr>
              <w:t xml:space="preserve">186 </w:t>
            </w:r>
            <w:r>
              <w:rPr>
                <w:rFonts w:ascii="Times New Roman" w:hAnsi="Times New Roman" w:cs="Times New Roman"/>
              </w:rPr>
              <w:t>osoba</w:t>
            </w:r>
            <w:r w:rsidR="00F76EAC" w:rsidRPr="009D62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od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čega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 w:rsidR="007D7733" w:rsidRPr="009D6297">
              <w:rPr>
                <w:rFonts w:ascii="Times New Roman" w:hAnsi="Times New Roman" w:cs="Times New Roman"/>
              </w:rPr>
              <w:t>11</w:t>
            </w:r>
            <w:r w:rsidR="00CD57E4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rukovodećih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državnih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službenika</w:t>
            </w:r>
            <w:r w:rsidR="00F76EAC" w:rsidRPr="009D62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šefova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unutrašnjih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organizacionih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jedinica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savjetnika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ministra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zamjenika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ministra</w:t>
            </w:r>
            <w:r w:rsidR="00F76EAC" w:rsidRPr="009D6297">
              <w:rPr>
                <w:rFonts w:ascii="Times New Roman" w:hAnsi="Times New Roman" w:cs="Times New Roman"/>
              </w:rPr>
              <w:t xml:space="preserve">, </w:t>
            </w:r>
            <w:r w:rsidR="007D7733" w:rsidRPr="009D6297">
              <w:rPr>
                <w:rFonts w:ascii="Times New Roman" w:hAnsi="Times New Roman" w:cs="Times New Roman"/>
              </w:rPr>
              <w:t xml:space="preserve">78 </w:t>
            </w:r>
            <w:r>
              <w:rPr>
                <w:rFonts w:ascii="Times New Roman" w:hAnsi="Times New Roman" w:cs="Times New Roman"/>
              </w:rPr>
              <w:t>državnih</w:t>
            </w:r>
            <w:r w:rsidR="00E77B92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službenika</w:t>
            </w:r>
            <w:r w:rsidR="00E77B92" w:rsidRPr="009D6297">
              <w:rPr>
                <w:rFonts w:ascii="Times New Roman" w:hAnsi="Times New Roman" w:cs="Times New Roman"/>
              </w:rPr>
              <w:t xml:space="preserve">, </w:t>
            </w:r>
            <w:r w:rsidR="007D7733" w:rsidRPr="009D6297">
              <w:rPr>
                <w:rFonts w:ascii="Times New Roman" w:hAnsi="Times New Roman" w:cs="Times New Roman"/>
              </w:rPr>
              <w:t xml:space="preserve">48 </w:t>
            </w:r>
            <w:r>
              <w:rPr>
                <w:rFonts w:ascii="Times New Roman" w:hAnsi="Times New Roman" w:cs="Times New Roman"/>
              </w:rPr>
              <w:t>sudskih</w:t>
            </w:r>
            <w:r w:rsidR="008C5B31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policajaca</w:t>
            </w:r>
            <w:r w:rsidR="008C5B31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8C5B31" w:rsidRPr="009D6297">
              <w:rPr>
                <w:rFonts w:ascii="Times New Roman" w:hAnsi="Times New Roman" w:cs="Times New Roman"/>
              </w:rPr>
              <w:t xml:space="preserve"> 49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zaposlenika</w:t>
            </w:r>
            <w:r w:rsidR="00F76EAC" w:rsidRPr="009D629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Na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osnovu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pregleda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spolne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strukture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vidljivo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MP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BiH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zaposleno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 w:rsidR="007D7733" w:rsidRPr="009D6297">
              <w:rPr>
                <w:rFonts w:ascii="Times New Roman" w:hAnsi="Times New Roman" w:cs="Times New Roman"/>
              </w:rPr>
              <w:t>52%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muškaraca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 w:rsidR="007D7733" w:rsidRPr="009D6297">
              <w:rPr>
                <w:rFonts w:ascii="Times New Roman" w:hAnsi="Times New Roman" w:cs="Times New Roman"/>
              </w:rPr>
              <w:t>48%</w:t>
            </w:r>
            <w:r w:rsidR="00F76EAC" w:rsidRPr="009D6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žena</w:t>
            </w:r>
            <w:r w:rsidR="00F76EAC" w:rsidRPr="009D6297">
              <w:rPr>
                <w:rFonts w:ascii="Times New Roman" w:hAnsi="Times New Roman" w:cs="Times New Roman"/>
              </w:rPr>
              <w:t>.</w:t>
            </w:r>
          </w:p>
          <w:p w14:paraId="7028A7CF" w14:textId="6652C073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MP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BiH</w:t>
            </w:r>
            <w:r w:rsidR="009B7279" w:rsidRPr="009D629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2006.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započelo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strateškim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planiranjem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nakon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osnivanja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Sektora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koordinaciju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pomoći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9A2ED5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ropske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integracije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SSPKPEI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koji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izradio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prvi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srednjoročni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2006.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2008.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BA9726" w14:textId="551B00A7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Srednjoročni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rada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metodološki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izrađen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skladu</w:t>
            </w:r>
            <w:r w:rsidR="00C77FF0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Odlukom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postupku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srednjoročnog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praćenja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izvještavanja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institucijama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Bosne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Hercegovine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(„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Službeni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glasnik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62/14)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Uputstvom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metodologiji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postupku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praćenja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izvještavanja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institucijama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Bosne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Hercegovine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Službeni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glasnik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“,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broj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44/15).</w:t>
            </w:r>
          </w:p>
          <w:p w14:paraId="2B457CD3" w14:textId="58B1A8C2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daje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doprinos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izradi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okvira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institucija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Bosne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Hercegovine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3D27356" w14:textId="5ECE81F0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Dokument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okvira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sadrži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14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ciljeva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doprinosi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3EEA">
              <w:rPr>
                <w:rFonts w:ascii="Times New Roman" w:eastAsia="Times New Roman" w:hAnsi="Times New Roman" w:cs="Times New Roman"/>
                <w:color w:val="000000"/>
              </w:rPr>
              <w:t>provođenju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jednog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cilja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: „</w:t>
            </w:r>
            <w:r w:rsidR="00F94C2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Ubrzati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proces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tranzicije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izgradnje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kapaciteta</w:t>
            </w:r>
            <w:r w:rsidR="00441974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okviru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principa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Upravljanje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funkciji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rasta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“</w:t>
            </w:r>
            <w:r w:rsidR="00441974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9F650F" w14:textId="712553C5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okviru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navedenog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strateškog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cilja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doprinosi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ostvarivanju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dva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srednjoročna</w:t>
            </w:r>
            <w:r w:rsidR="00F94C23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cilja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CF4E0D8" w14:textId="627CD0A7" w:rsidR="007D7733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Srednjoročni</w:t>
            </w:r>
            <w:r w:rsidR="00D90A37" w:rsidRPr="009D62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cilj</w:t>
            </w:r>
            <w:r w:rsidR="00D90A37" w:rsidRPr="009D62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1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Izgradnja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kapaciteta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kreiranje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politika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proces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A2ED5">
              <w:rPr>
                <w:rFonts w:ascii="Times New Roman" w:eastAsia="Times New Roman" w:hAnsi="Times New Roman" w:cs="Times New Roman"/>
                <w:bCs/>
                <w:color w:val="000000"/>
              </w:rPr>
              <w:t>europskih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integracija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reforme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javne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uprave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14:paraId="296283A1" w14:textId="5E88B69A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Srednjoročni</w:t>
            </w:r>
            <w:r w:rsidR="00F94C23" w:rsidRPr="009D62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cilj</w:t>
            </w:r>
            <w:r w:rsidR="00F94C23" w:rsidRPr="009D62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 2</w:t>
            </w:r>
            <w:r w:rsidR="00F94C2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Unapređenje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efikasnosti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odgovornosti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kvalitete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nezavisnosti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sektora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pravde</w:t>
            </w:r>
            <w:r w:rsidR="007D773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3608411" w14:textId="17637C2F" w:rsidR="00F33A8B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pripremi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evaluacije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izrađen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je</w:t>
            </w:r>
            <w:r w:rsidR="00A53806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plan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evaluacije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predmetni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izvještaj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skladu</w:t>
            </w:r>
            <w:r w:rsidR="001454B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okvirnom</w:t>
            </w:r>
            <w:r w:rsidR="00A53806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metodologijom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Direkcije</w:t>
            </w:r>
            <w:r w:rsidR="00907BD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za</w:t>
            </w:r>
            <w:r w:rsidR="00907BD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ekonomsko</w:t>
            </w:r>
            <w:r w:rsidR="00907BD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planiranje</w:t>
            </w:r>
            <w:r w:rsidR="00907BD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DEP</w:t>
            </w:r>
            <w:r w:rsidR="00907BD3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="00D90A37" w:rsidRPr="009D629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68B74C13" w14:textId="61B98045" w:rsidR="009B7279" w:rsidRPr="009D6297" w:rsidRDefault="00E95EE5" w:rsidP="005E192D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Evaluacija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izvršena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Prva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odnosila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prikupljanje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obradu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podataka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druga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faza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odnosila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2ED5">
              <w:rPr>
                <w:rFonts w:ascii="Times New Roman" w:eastAsia="Times New Roman" w:hAnsi="Times New Roman" w:cs="Times New Roman"/>
                <w:color w:val="000000"/>
              </w:rPr>
              <w:t>provođenje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polustrukturi</w:t>
            </w:r>
            <w:r w:rsidR="009A2ED5"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anog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intervjua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pojedinačnih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sastanaka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210C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treća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faza</w:t>
            </w:r>
            <w:r w:rsidR="00210C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bila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usmjerena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analitički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rad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sastavljanje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izvještaja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evaluaciji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prema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ranije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3EEA">
              <w:rPr>
                <w:rFonts w:ascii="Times New Roman" w:eastAsia="Times New Roman" w:hAnsi="Times New Roman" w:cs="Times New Roman"/>
                <w:color w:val="000000"/>
              </w:rPr>
              <w:t>definir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anim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kriterijima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datim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metodologiji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izrade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evaluacije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EE752E" w14:textId="14AA3F84" w:rsidR="00F33A8B" w:rsidRPr="009D6297" w:rsidRDefault="00E95EE5" w:rsidP="00CD57E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osnovu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navedenog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konstatuje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period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1454B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godine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manje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obiman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dokument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prethodnog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što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bila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jedna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naučenih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lekcija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kroz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prošlu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evaluaciju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695EDB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123E5B" w14:textId="359679E6" w:rsidR="00F33A8B" w:rsidRPr="009D6297" w:rsidRDefault="00E95EE5" w:rsidP="00CD57E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posmatranom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periodu</w:t>
            </w:r>
            <w:r w:rsidR="00A53806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primjećuje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stalni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trend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razvoja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kulture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unapređenja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pogledu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metodološke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preciznosti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konciznosti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dokumenta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otklanjanje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uočenih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nedostataka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Navedeno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unapređenje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odnosilo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smanjenje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broja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aktivnosti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srednjoročnom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dokumentu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pojednostavljenju</w:t>
            </w:r>
            <w:r w:rsidR="004C610F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pokazatelja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uspjeha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rezultata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odnosu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postavljene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ciljeve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projekte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77B92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BEED7F7" w14:textId="5EEDF730" w:rsidR="009F13AD" w:rsidRPr="009D6297" w:rsidRDefault="00E95EE5" w:rsidP="00CD57E4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Sazrijevanje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procesa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planiranja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opaža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4C610F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CD57E4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jasnijim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preciznijim</w:t>
            </w:r>
            <w:r w:rsidR="000A49E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4C610F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sveobuhvatnijim</w:t>
            </w:r>
            <w:r w:rsidR="004C610F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izvještajima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83EEA">
              <w:rPr>
                <w:rFonts w:ascii="Times New Roman" w:eastAsia="Times New Roman" w:hAnsi="Times New Roman" w:cs="Times New Roman"/>
                <w:color w:val="000000"/>
              </w:rPr>
              <w:t>provođenju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SPR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MP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BiH</w:t>
            </w:r>
            <w:r w:rsidR="00D90A37" w:rsidRPr="009D62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DA09E1D" w14:textId="2FA9FDC8" w:rsidR="00C87E7C" w:rsidRPr="009D6297" w:rsidRDefault="00E95EE5" w:rsidP="005E192D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lang w:val="hr-BA"/>
        </w:rPr>
      </w:pPr>
      <w:r>
        <w:rPr>
          <w:rFonts w:ascii="Times New Roman" w:hAnsi="Times New Roman" w:cs="Times New Roman"/>
          <w:b/>
          <w:iCs/>
          <w:lang w:val="hr-BA"/>
        </w:rPr>
        <w:t>Izrazi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koji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su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radi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preglednosti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dati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u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jednom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gramatičkom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rodu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u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ovom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izvještaju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, </w:t>
      </w:r>
      <w:r>
        <w:rPr>
          <w:rFonts w:ascii="Times New Roman" w:hAnsi="Times New Roman" w:cs="Times New Roman"/>
          <w:b/>
          <w:iCs/>
          <w:lang w:val="hr-BA"/>
        </w:rPr>
        <w:t>bez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diskriminacije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se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odnose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na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muškarce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i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na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 xml:space="preserve"> </w:t>
      </w:r>
      <w:r>
        <w:rPr>
          <w:rFonts w:ascii="Times New Roman" w:hAnsi="Times New Roman" w:cs="Times New Roman"/>
          <w:b/>
          <w:iCs/>
          <w:lang w:val="hr-BA"/>
        </w:rPr>
        <w:t>žene</w:t>
      </w:r>
      <w:r w:rsidR="005E192D" w:rsidRPr="009D6297">
        <w:rPr>
          <w:rFonts w:ascii="Times New Roman" w:hAnsi="Times New Roman" w:cs="Times New Roman"/>
          <w:b/>
          <w:iCs/>
          <w:lang w:val="hr-BA"/>
        </w:rPr>
        <w:t>.</w:t>
      </w:r>
    </w:p>
    <w:p w14:paraId="49261D7F" w14:textId="77777777" w:rsidR="00C87E7C" w:rsidRDefault="00C87E7C">
      <w:pPr>
        <w:rPr>
          <w:rFonts w:ascii="Times New Roman" w:hAnsi="Times New Roman" w:cs="Times New Roman"/>
          <w:b/>
          <w:i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hr-BA"/>
        </w:rPr>
        <w:br w:type="page"/>
      </w:r>
    </w:p>
    <w:p w14:paraId="225E280A" w14:textId="4B1A5307" w:rsidR="00504C84" w:rsidRPr="009F712A" w:rsidRDefault="00E95EE5" w:rsidP="00504C84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2" w:name="_Toc112075067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SVRHA</w:t>
      </w:r>
      <w:r w:rsidR="00F474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I</w:t>
      </w:r>
      <w:r w:rsidR="00F4741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CILj</w:t>
      </w:r>
      <w:r w:rsidR="009F712A" w:rsidRPr="009F712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EVALUACIJE</w:t>
      </w:r>
      <w:bookmarkEnd w:id="2"/>
    </w:p>
    <w:p w14:paraId="1132CA8C" w14:textId="076BC759" w:rsidR="00504C84" w:rsidRDefault="00E95EE5" w:rsidP="00504C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Svrha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evaluacije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kreatore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politika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upozna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svrsishodnošću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relevantnošću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efikasnošću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te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održivosti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krajnjem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uticaju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predloženih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aktivnosti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elemenata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Srednjoročnog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programa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rada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Times New Roman" w:hAnsi="Times New Roman" w:cs="Times New Roman"/>
          <w:sz w:val="24"/>
          <w:szCs w:val="24"/>
          <w:lang w:val="sr-Cyrl-BA" w:eastAsia="zh-TW" w:bidi="as-IN"/>
        </w:rPr>
        <w:t>Vijeća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ministara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SPR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MP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BiH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kao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doprinese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poboljšanju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upravljanja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tekućim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projektima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programima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kao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da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unaprijedi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pripremu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novih</w:t>
      </w:r>
      <w:r w:rsidR="009F712A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.</w:t>
      </w:r>
    </w:p>
    <w:p w14:paraId="64911833" w14:textId="26258076" w:rsidR="00504C84" w:rsidRDefault="00E95EE5" w:rsidP="00504C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Na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osnovu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objektivnih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kriterija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utvrđuju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razlozi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uspjeha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ili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neuspjeha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što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dalje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doprinosi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predlaganju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preporuka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za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unapređenje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ili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otklanjanje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uočenih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nedostataka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. </w:t>
      </w:r>
    </w:p>
    <w:p w14:paraId="7DD54CEA" w14:textId="0D469F4E" w:rsidR="00504C84" w:rsidRDefault="00E95EE5" w:rsidP="00504C84">
      <w:pP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Cilj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evaluacije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izrada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analize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ostvarenja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ciljeva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s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preporukama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odnosu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na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zadane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kriterije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evaluacije</w:t>
      </w:r>
      <w:r w:rsidR="00504C84" w:rsidRPr="00504C84">
        <w:rPr>
          <w:rFonts w:ascii="Times New Roman" w:eastAsia="Times New Roman" w:hAnsi="Times New Roman" w:cs="Times New Roman"/>
          <w:sz w:val="24"/>
          <w:szCs w:val="24"/>
          <w:lang w:eastAsia="zh-TW" w:bidi="as-IN"/>
        </w:rPr>
        <w:t>.</w:t>
      </w:r>
    </w:p>
    <w:p w14:paraId="7AF4A291" w14:textId="63439D8C" w:rsidR="00E034AB" w:rsidRPr="009C1838" w:rsidRDefault="00E95EE5" w:rsidP="009C1838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3" w:name="_Toc112075068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KONTEKST</w:t>
      </w:r>
      <w:r w:rsidR="00504C84" w:rsidRPr="009C183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EVALUACIJE</w:t>
      </w:r>
      <w:bookmarkEnd w:id="3"/>
    </w:p>
    <w:p w14:paraId="160D94BB" w14:textId="1C110B17" w:rsidR="004C610F" w:rsidRDefault="00E95EE5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Jedan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ključnih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Strategije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reformu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javne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uprave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(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SRJU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jačanje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kapaciteta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razvoj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politika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svim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upravnim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nivoima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220F8DBF" w14:textId="1E6EED87" w:rsidR="00E034AB" w:rsidRPr="00C77FF0" w:rsidRDefault="00E95EE5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2015.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institucijama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započeo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izvještavanja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nakon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usvajanja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Odluke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postupku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izvještavanja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Uputstva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metodologiji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postupku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izvještavanja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institucijama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</w:t>
      </w:r>
      <w:r w:rsidR="00983EEA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ijeća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 w:rsidR="00983EEA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VM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Navedenim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propisima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propisana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obaveza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4C61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nakon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provođenja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4C610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postupak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interne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eksterne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navedenim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93A1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</w:t>
      </w:r>
      <w:r w:rsidR="00B93A1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B93A1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B93A1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evaluaciji</w:t>
      </w:r>
      <w:r w:rsidR="00B93A1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9BD9AA0" w14:textId="378C3AAE" w:rsidR="00E034AB" w:rsidRPr="00C77FF0" w:rsidRDefault="00E95EE5" w:rsidP="00473F89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Sam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postupak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evaluacije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vršen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interno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evaluaciju</w:t>
      </w:r>
      <w:r w:rsidR="00B46F1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sve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faze</w:t>
      </w:r>
      <w:r w:rsidR="00CD57E4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proveo</w:t>
      </w:r>
      <w:r w:rsidR="00BB5ED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tim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SSPKPEI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</w:p>
    <w:p w14:paraId="09E1B57C" w14:textId="77777777" w:rsidR="00F554DB" w:rsidRDefault="00F554DB">
      <w:pP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 w:bidi="as-IN"/>
        </w:rPr>
        <w:br w:type="page"/>
      </w:r>
    </w:p>
    <w:p w14:paraId="32FC02DB" w14:textId="0D649D77" w:rsidR="00E034AB" w:rsidRPr="00ED649A" w:rsidRDefault="00E95EE5" w:rsidP="005F0103">
      <w:pPr>
        <w:pStyle w:val="Heading1"/>
        <w:numPr>
          <w:ilvl w:val="0"/>
          <w:numId w:val="22"/>
        </w:numPr>
        <w:spacing w:before="0" w:after="12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</w:pPr>
      <w:bookmarkStart w:id="4" w:name="_Toc112075069"/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lastRenderedPageBreak/>
        <w:t>SREDNjOROČNI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PLAN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RADA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MP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BiH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ZA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PERIOD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 20</w:t>
      </w:r>
      <w:r w:rsidR="00CD57E4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19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. – 20</w:t>
      </w:r>
      <w:r w:rsidR="00CD57E4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21</w:t>
      </w:r>
      <w:r w:rsidR="00B46F11" w:rsidRPr="00ED649A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TW" w:bidi="as-IN"/>
        </w:rPr>
        <w:t>GODINE</w:t>
      </w:r>
      <w:bookmarkEnd w:id="4"/>
    </w:p>
    <w:p w14:paraId="090656DD" w14:textId="21534A4F" w:rsidR="00504C84" w:rsidRDefault="00E95EE5" w:rsidP="00ED649A">
      <w:pPr>
        <w:spacing w:before="120" w:after="120" w:line="240" w:lineRule="auto"/>
        <w:ind w:left="-6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Opis</w:t>
      </w:r>
      <w:r w:rsidR="009C1838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ključnih</w:t>
      </w:r>
      <w:r w:rsidR="009C1838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pojmova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-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srednjoročni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ciljevi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posebni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ciljevi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i</w:t>
      </w:r>
      <w:r w:rsidR="00504C84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programi</w:t>
      </w:r>
    </w:p>
    <w:p w14:paraId="533F24D1" w14:textId="296EE5D8" w:rsidR="0052587F" w:rsidRDefault="00E95EE5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Uvidom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9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1.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utvrđeno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izrađen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Uputstvom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metodologiji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postupku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izvještavanja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institucijama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874392C" w14:textId="6ED6E512" w:rsidR="00E034AB" w:rsidRPr="007C2670" w:rsidRDefault="00E95EE5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Strateški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okvir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9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8D5A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predstavlja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polaznu</w:t>
      </w:r>
      <w:r w:rsidR="0052587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tačku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pripremu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okviru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četrnaest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strateških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doprinosi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strateškog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E034AB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„</w:t>
      </w:r>
      <w:r w:rsidR="0052587F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14.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Ubrzati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tranzicije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izgradnje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kapaciteta</w:t>
      </w:r>
      <w:r w:rsidR="0001177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“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8E44FA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r w:rsidR="008E44FA" w:rsidRPr="007C2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principa</w:t>
      </w:r>
      <w:r w:rsidR="008E44FA" w:rsidRPr="007C2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Upravljanje</w:t>
      </w:r>
      <w:r w:rsidR="008E44FA" w:rsidRPr="007C2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8E44FA" w:rsidRPr="007C2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funkciji</w:t>
      </w:r>
      <w:r w:rsidR="008E44FA" w:rsidRPr="007C2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rasta</w:t>
      </w:r>
      <w:r w:rsidR="008E44FA" w:rsidRPr="007C26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="008E44FA" w:rsidRPr="007C26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C21F41" w14:textId="691A4974" w:rsidR="009C1838" w:rsidRDefault="00E95EE5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utvrđeno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direktno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razvoju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dva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907BD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izvedena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navedenog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strateškog</w:t>
      </w:r>
      <w:r w:rsidR="00D46E37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7B35EB62" w14:textId="6AC0EAA5" w:rsidR="0001177B" w:rsidRPr="00C77FF0" w:rsidRDefault="00E95EE5" w:rsidP="00473F89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prvi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specifična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jedan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odnose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zakonske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nadležnosti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očekivani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mandat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misiju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izazove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kojima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suočava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AF2A9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organizirano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programe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jedan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više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sredstva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ostvarenje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01177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5E940895" w14:textId="7062E40A" w:rsidR="006A60B9" w:rsidRDefault="00E95EE5" w:rsidP="00473F89">
      <w:pPr>
        <w:spacing w:after="120" w:line="240" w:lineRule="auto"/>
        <w:ind w:left="-6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nastavku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tabelarni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pregled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srednjoročnih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vijeća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ministara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 w:rsidR="00983EEA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VM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)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uz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pregled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pripadajućih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9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8E44F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801A9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1.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6A60B9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6617DA" w:rsidRPr="00780B95" w14:paraId="24AE74F2" w14:textId="77777777" w:rsidTr="003F37E5">
        <w:tc>
          <w:tcPr>
            <w:tcW w:w="2127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01A313D" w14:textId="7F8897FA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Srednjoročni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14:paraId="37DFEDB1" w14:textId="5A3A77A9" w:rsidR="006617DA" w:rsidRPr="00780B95" w:rsidRDefault="00E95EE5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efikasnosti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odgovornosti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kvalitete</w:t>
            </w:r>
            <w:r w:rsidR="000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nezavisnosti</w:t>
            </w:r>
            <w:r w:rsidR="000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sektora</w:t>
            </w:r>
            <w:r w:rsidR="000F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pravde</w:t>
            </w:r>
          </w:p>
        </w:tc>
      </w:tr>
      <w:tr w:rsidR="006617DA" w:rsidRPr="00780B95" w14:paraId="2C342DF3" w14:textId="77777777" w:rsidTr="00F33A8B">
        <w:tc>
          <w:tcPr>
            <w:tcW w:w="2127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53C932FE" w14:textId="4B04DD38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Posebni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6938" w:type="dxa"/>
            <w:tcBorders>
              <w:top w:val="single" w:sz="4" w:space="0" w:color="auto"/>
            </w:tcBorders>
            <w:vAlign w:val="center"/>
          </w:tcPr>
          <w:p w14:paraId="68B61443" w14:textId="2C199FCE" w:rsidR="006617DA" w:rsidRPr="00780B95" w:rsidRDefault="00640226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stabilnu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pravosudnu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upravu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ojačati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pravosudnu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saradnju</w:t>
            </w:r>
          </w:p>
        </w:tc>
      </w:tr>
      <w:tr w:rsidR="006617DA" w:rsidRPr="00780B95" w14:paraId="3674141D" w14:textId="77777777" w:rsidTr="00F33A8B">
        <w:tc>
          <w:tcPr>
            <w:tcW w:w="2127" w:type="dxa"/>
            <w:shd w:val="clear" w:color="auto" w:fill="ACB9CA" w:themeFill="text2" w:themeFillTint="66"/>
            <w:vAlign w:val="center"/>
          </w:tcPr>
          <w:p w14:paraId="68D3946C" w14:textId="79982C24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Posebni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6938" w:type="dxa"/>
            <w:vAlign w:val="center"/>
          </w:tcPr>
          <w:p w14:paraId="17F1E893" w14:textId="285F28B5" w:rsidR="006617DA" w:rsidRPr="00780B95" w:rsidRDefault="00640226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zakonit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tretman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efiksnu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resocijalizaciju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zatvorenika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pritvorenika</w:t>
            </w:r>
          </w:p>
        </w:tc>
      </w:tr>
      <w:tr w:rsidR="006617DA" w:rsidRPr="00780B95" w14:paraId="6AB420A1" w14:textId="77777777" w:rsidTr="00F33A8B">
        <w:tc>
          <w:tcPr>
            <w:tcW w:w="2127" w:type="dxa"/>
            <w:shd w:val="clear" w:color="auto" w:fill="ACB9CA" w:themeFill="text2" w:themeFillTint="66"/>
            <w:vAlign w:val="center"/>
          </w:tcPr>
          <w:p w14:paraId="1E3465AB" w14:textId="6B71A53E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Posebni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3</w:t>
            </w:r>
          </w:p>
        </w:tc>
        <w:tc>
          <w:tcPr>
            <w:tcW w:w="6938" w:type="dxa"/>
            <w:vAlign w:val="center"/>
          </w:tcPr>
          <w:p w14:paraId="5B2D0F63" w14:textId="456484AB" w:rsidR="006617DA" w:rsidRPr="00780B95" w:rsidRDefault="00640226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pružanje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međunarodne</w:t>
            </w:r>
            <w:r w:rsidR="7C1D1F8F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pravne</w:t>
            </w:r>
            <w:r w:rsidR="7C1D1F8F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24"/>
                <w:szCs w:val="24"/>
              </w:rPr>
              <w:t>saradnje</w:t>
            </w:r>
          </w:p>
        </w:tc>
      </w:tr>
      <w:tr w:rsidR="006617DA" w:rsidRPr="00780B95" w14:paraId="1F07C3BF" w14:textId="77777777" w:rsidTr="00F33A8B">
        <w:tc>
          <w:tcPr>
            <w:tcW w:w="2127" w:type="dxa"/>
            <w:shd w:val="clear" w:color="auto" w:fill="44546A" w:themeFill="text2"/>
            <w:vAlign w:val="center"/>
          </w:tcPr>
          <w:p w14:paraId="1B54AE43" w14:textId="561C9CEA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Srednjoročni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2</w:t>
            </w:r>
          </w:p>
        </w:tc>
        <w:tc>
          <w:tcPr>
            <w:tcW w:w="6938" w:type="dxa"/>
            <w:vAlign w:val="center"/>
          </w:tcPr>
          <w:p w14:paraId="1AADF7CA" w14:textId="7467E5E1" w:rsidR="006617DA" w:rsidRPr="00780B95" w:rsidRDefault="00E95EE5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kapaciteta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kreiranje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politika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24"/>
                <w:szCs w:val="24"/>
              </w:rPr>
              <w:t>europskih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integracija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reforme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</w:p>
        </w:tc>
      </w:tr>
      <w:tr w:rsidR="006617DA" w:rsidRPr="00780B95" w14:paraId="3F5E09E2" w14:textId="77777777" w:rsidTr="00F33A8B">
        <w:tc>
          <w:tcPr>
            <w:tcW w:w="2127" w:type="dxa"/>
            <w:shd w:val="clear" w:color="auto" w:fill="ACB9CA" w:themeFill="text2" w:themeFillTint="66"/>
            <w:vAlign w:val="center"/>
          </w:tcPr>
          <w:p w14:paraId="07ED352E" w14:textId="4EC49BAB" w:rsidR="006617DA" w:rsidRPr="00780B95" w:rsidRDefault="00E95EE5" w:rsidP="003F37E5">
            <w:pPr>
              <w:spacing w:before="60" w:after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Posebni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cilj</w:t>
            </w:r>
            <w:r w:rsidR="006617DA" w:rsidRPr="00780B9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6938" w:type="dxa"/>
            <w:vAlign w:val="center"/>
          </w:tcPr>
          <w:p w14:paraId="321DE16E" w14:textId="20FA4662" w:rsidR="006617DA" w:rsidRPr="00780B95" w:rsidRDefault="00E95EE5" w:rsidP="003F37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Stvoriti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pretpostavke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aktivnije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učešće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civilnog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društva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unaprijediti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upravne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inspekcije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1A1">
              <w:rPr>
                <w:rFonts w:ascii="Times New Roman" w:hAnsi="Times New Roman" w:cs="Times New Roman"/>
                <w:sz w:val="24"/>
                <w:szCs w:val="24"/>
              </w:rPr>
              <w:t>koordinirati</w:t>
            </w:r>
            <w:r w:rsidR="00780B95" w:rsidRPr="00780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r w:rsidR="00952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pravde</w:t>
            </w:r>
          </w:p>
        </w:tc>
      </w:tr>
    </w:tbl>
    <w:p w14:paraId="15AE038A" w14:textId="5480C231" w:rsidR="00E034AB" w:rsidRPr="00C77FF0" w:rsidRDefault="00473F89" w:rsidP="00F33A8B">
      <w:pPr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>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okviru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1,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Posebnom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cilju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</w:t>
      </w:r>
      <w:r w:rsidR="008A4D2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2019 – 2021.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 w:rsidR="00B401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definir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ana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E034A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tri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BA0C58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:</w:t>
      </w:r>
    </w:p>
    <w:p w14:paraId="4FCA6FD7" w14:textId="58105C7D" w:rsidR="009C1838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Program</w:t>
      </w:r>
      <w:r w:rsidR="00E034AB" w:rsidRPr="00EB08BF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1</w:t>
      </w:r>
      <w:r w:rsidR="002E33E5" w:rsidRPr="00EB08BF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:</w:t>
      </w:r>
      <w:r w:rsidR="002E33E5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C1838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(14.6</w:t>
      </w:r>
      <w:r w:rsidR="002F5843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.1)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Normativno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pravna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djelatnost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 w:rsidR="009A2ED5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provođenje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praćenje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oblasti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pravosuđa</w:t>
      </w:r>
    </w:p>
    <w:p w14:paraId="2431797A" w14:textId="39861C9D" w:rsidR="002F5843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Program</w:t>
      </w:r>
      <w:r w:rsidR="00E034AB" w:rsidRPr="002F5843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2: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(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14.6.2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Normativno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pravna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djelatnost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 w:rsidR="009A2ED5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provođenje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praćenje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oblasti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sistema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izvršenja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kaznenih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sankcija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inspekcijski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nadzor</w:t>
      </w:r>
      <w:r w:rsidR="002F5843" w:rsidRPr="002F5843" w:rsidDel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</w:p>
    <w:p w14:paraId="190E0627" w14:textId="0746BD44" w:rsidR="002E33E5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Program</w:t>
      </w:r>
      <w:r w:rsidR="002E33E5" w:rsidRPr="002F5843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3: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(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14.6.3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Sistem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međunarodne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pravne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pomoći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A0ECEEC" w14:textId="6B032FE8" w:rsidR="002F5843" w:rsidRPr="002F5843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Programi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sadrže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ukupno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devet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5251BE3" w14:textId="7DFED8D4" w:rsidR="00E034AB" w:rsidRPr="007C2670" w:rsidRDefault="00E95EE5" w:rsidP="008A4D28">
      <w:pPr>
        <w:spacing w:after="120" w:line="240" w:lineRule="auto"/>
        <w:ind w:left="-5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okviru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</w:t>
      </w:r>
      <w:r w:rsidR="008A4D2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definisan</w:t>
      </w:r>
      <w:r w:rsidR="002E33E5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tokom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izrade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2018.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bio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jedan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:</w:t>
      </w:r>
    </w:p>
    <w:p w14:paraId="6BAB995F" w14:textId="67F199E0" w:rsidR="009C1838" w:rsidRPr="007C2670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Program</w:t>
      </w:r>
      <w:r w:rsidR="002E33E5" w:rsidRPr="00F33A8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4</w:t>
      </w:r>
      <w:r w:rsidR="00E034AB" w:rsidRPr="00F33A8B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: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(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14.2.1</w:t>
      </w:r>
      <w:r w:rsid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Javna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uprava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saradnja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civilnim</w:t>
      </w:r>
      <w:r w:rsidR="002F5843" w:rsidRPr="002F584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društvom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127BD69" w14:textId="021DBCC6" w:rsidR="00AB3D63" w:rsidRPr="007C2670" w:rsidRDefault="00E95EE5" w:rsidP="002B52E0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</w:t>
      </w:r>
      <w:r w:rsidR="009C183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4</w:t>
      </w:r>
      <w:r w:rsidR="00E034AB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EC405E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EC405E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</w:t>
      </w:r>
      <w:r w:rsidR="00EC405E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sadrži</w:t>
      </w:r>
      <w:r w:rsidR="00BA0C58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šest</w:t>
      </w:r>
      <w:r w:rsidR="0056299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AB3D63" w:rsidRPr="007C267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5C9A2E33" w14:textId="0C4459F0" w:rsidR="008A4D28" w:rsidRDefault="00E95EE5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Ukupan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zbroj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oba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srednjoročna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četiri</w:t>
      </w:r>
      <w:r w:rsidR="002B52E0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iznosi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0F4AF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15</w:t>
      </w:r>
      <w:r w:rsidR="0044775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04549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Prateći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razvoj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planova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periodu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2016.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2018.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primjetan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dalji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trend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smanjivanja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posljedica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spajanja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manjih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cjelina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veću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EC405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upućuje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trend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okrupnjavanja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“</w:t>
      </w:r>
      <w:r w:rsidR="009B727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F261B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bio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izražen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tokom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izrade</w:t>
      </w:r>
      <w:r w:rsidR="00F33A8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prethodnog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-a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uočeno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postojanje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16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111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SRP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-u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2019 – 2021.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četiri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puta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manje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sedam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puta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manje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možemo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primjetiti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okrupnjeni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B52E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povezani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jasnije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cjeline</w:t>
      </w:r>
      <w:r w:rsidR="00414B53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21EB3831" w14:textId="1CEBDAF0" w:rsidR="00E034AB" w:rsidRPr="008A4D28" w:rsidRDefault="00E95EE5" w:rsidP="008A4D28">
      <w:pPr>
        <w:tabs>
          <w:tab w:val="left" w:pos="284"/>
        </w:tabs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Finansijski</w:t>
      </w:r>
      <w:r w:rsidR="00E034AB" w:rsidRPr="008A4D28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okvir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za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poslovanje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MP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BiH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naveden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je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u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narednoj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tabeli</w:t>
      </w:r>
      <w:r w:rsidR="005E192D">
        <w:rPr>
          <w:rFonts w:ascii="Times New Roman" w:eastAsia="Times New Roman" w:hAnsi="Times New Roman" w:cs="Times New Roman"/>
          <w:color w:val="000000"/>
          <w:sz w:val="24"/>
          <w:szCs w:val="24"/>
          <w:lang w:eastAsia="zh-TW" w:bidi="as-IN"/>
        </w:rPr>
        <w:t>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75"/>
        <w:gridCol w:w="1801"/>
        <w:gridCol w:w="1801"/>
        <w:gridCol w:w="2011"/>
        <w:gridCol w:w="1772"/>
      </w:tblGrid>
      <w:tr w:rsidR="00EB08BF" w:rsidRPr="00F554DB" w14:paraId="43336EAA" w14:textId="77777777" w:rsidTr="00EB08BF">
        <w:tc>
          <w:tcPr>
            <w:tcW w:w="924" w:type="pct"/>
            <w:shd w:val="clear" w:color="auto" w:fill="44546A" w:themeFill="text2"/>
            <w:vAlign w:val="center"/>
          </w:tcPr>
          <w:p w14:paraId="57D76539" w14:textId="6A4BB2E5" w:rsidR="00EB08BF" w:rsidRPr="00F554DB" w:rsidRDefault="00E95EE5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Rashodi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9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godini</w:t>
            </w:r>
          </w:p>
          <w:p w14:paraId="7D532919" w14:textId="78412CFD" w:rsidR="00EB08BF" w:rsidRPr="00F554DB" w:rsidRDefault="00EB08BF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="00E95E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4" w:type="pct"/>
            <w:shd w:val="clear" w:color="auto" w:fill="44546A" w:themeFill="text2"/>
            <w:vAlign w:val="center"/>
          </w:tcPr>
          <w:p w14:paraId="7A5CABC6" w14:textId="244584BB" w:rsidR="00EB08BF" w:rsidRPr="00F554DB" w:rsidRDefault="00E95EE5" w:rsidP="00EC405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Rashodi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godini</w:t>
            </w:r>
          </w:p>
          <w:p w14:paraId="5036C955" w14:textId="66898893" w:rsidR="00EB08BF" w:rsidRPr="00F554DB" w:rsidRDefault="00EB08BF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="00E95E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94" w:type="pct"/>
            <w:shd w:val="clear" w:color="auto" w:fill="44546A" w:themeFill="text2"/>
            <w:vAlign w:val="center"/>
          </w:tcPr>
          <w:p w14:paraId="60D6AC33" w14:textId="51713842" w:rsidR="00EB08BF" w:rsidRPr="00F554DB" w:rsidRDefault="00E95EE5" w:rsidP="00EC405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Rashodi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</w:t>
            </w:r>
            <w:r w:rsidR="00EB08B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21</w:t>
            </w:r>
            <w:r w:rsidR="00EB08BF"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godini</w:t>
            </w:r>
          </w:p>
          <w:p w14:paraId="26991711" w14:textId="2B9C3262" w:rsidR="00EB08BF" w:rsidRPr="00F554DB" w:rsidRDefault="00EB08BF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="00E95E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110" w:type="pct"/>
            <w:shd w:val="clear" w:color="auto" w:fill="44546A" w:themeFill="text2"/>
            <w:vAlign w:val="center"/>
          </w:tcPr>
          <w:p w14:paraId="5A16A84A" w14:textId="32202C90" w:rsidR="00EB08BF" w:rsidRPr="00F554DB" w:rsidRDefault="00E95EE5" w:rsidP="00DB0313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Ukupno</w:t>
            </w:r>
            <w:r w:rsidR="00014C1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izvršeno</w:t>
            </w:r>
          </w:p>
          <w:p w14:paraId="3242F2CE" w14:textId="34D81813" w:rsidR="00EB08BF" w:rsidRPr="00F554DB" w:rsidRDefault="00EB08BF" w:rsidP="00DB0313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9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.-20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21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DD47B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godine</w:t>
            </w:r>
          </w:p>
          <w:p w14:paraId="4D698D18" w14:textId="61D78336" w:rsidR="00EB08BF" w:rsidRPr="00F554DB" w:rsidRDefault="00EB08BF" w:rsidP="009B7279">
            <w:pPr>
              <w:ind w:right="116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="00E95E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979" w:type="pct"/>
            <w:shd w:val="clear" w:color="auto" w:fill="44546A" w:themeFill="text2"/>
            <w:vAlign w:val="center"/>
          </w:tcPr>
          <w:p w14:paraId="6556BDC3" w14:textId="3BDCD82C" w:rsidR="00EB08BF" w:rsidRPr="00F554DB" w:rsidRDefault="00E95EE5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Raspoloživo</w:t>
            </w:r>
            <w:r w:rsidR="00014C1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u</w:t>
            </w:r>
            <w:r w:rsidR="00014C1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budžetu</w:t>
            </w:r>
          </w:p>
          <w:p w14:paraId="4BBADF32" w14:textId="1F69D2EF" w:rsidR="00EB08BF" w:rsidRPr="00F554DB" w:rsidRDefault="00EB08BF" w:rsidP="00DE408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019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21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.</w:t>
            </w:r>
            <w:r w:rsidR="003F37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DD47B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godine</w:t>
            </w:r>
          </w:p>
          <w:p w14:paraId="5B115695" w14:textId="3ABCE789" w:rsidR="00EB08BF" w:rsidRPr="00F554DB" w:rsidRDefault="00EB08BF" w:rsidP="009B727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(</w:t>
            </w:r>
            <w:r w:rsidR="00E95EE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KM</w:t>
            </w:r>
            <w:r w:rsidRPr="00F554D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)</w:t>
            </w:r>
          </w:p>
        </w:tc>
      </w:tr>
      <w:tr w:rsidR="00EB08BF" w:rsidRPr="00F554DB" w14:paraId="0A551907" w14:textId="77777777" w:rsidTr="00EB08BF">
        <w:tc>
          <w:tcPr>
            <w:tcW w:w="924" w:type="pct"/>
          </w:tcPr>
          <w:p w14:paraId="2729561D" w14:textId="41E143BD" w:rsidR="00EB08BF" w:rsidRPr="00F554DB" w:rsidRDefault="00014C19" w:rsidP="00D90A37">
            <w:pPr>
              <w:spacing w:before="120" w:after="120"/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14C1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14.010.019,13</w:t>
            </w:r>
          </w:p>
        </w:tc>
        <w:tc>
          <w:tcPr>
            <w:tcW w:w="994" w:type="pct"/>
          </w:tcPr>
          <w:p w14:paraId="77D94EA7" w14:textId="6B815458" w:rsidR="00EB08BF" w:rsidRPr="00F554DB" w:rsidRDefault="00014C19" w:rsidP="00D90A37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14C1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12.878.545,96</w:t>
            </w:r>
          </w:p>
        </w:tc>
        <w:tc>
          <w:tcPr>
            <w:tcW w:w="994" w:type="pct"/>
          </w:tcPr>
          <w:p w14:paraId="66AB5EBE" w14:textId="12922516" w:rsidR="00EB08BF" w:rsidRPr="00F554DB" w:rsidRDefault="00014C19" w:rsidP="00D90A37">
            <w:pPr>
              <w:spacing w:before="120" w:after="120"/>
              <w:ind w:right="117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014C1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15.828.079,39</w:t>
            </w:r>
          </w:p>
        </w:tc>
        <w:tc>
          <w:tcPr>
            <w:tcW w:w="1110" w:type="pct"/>
          </w:tcPr>
          <w:p w14:paraId="575E8573" w14:textId="32FA4069" w:rsidR="00EB08BF" w:rsidRPr="00BF7D82" w:rsidRDefault="00014C19" w:rsidP="00D90A37">
            <w:pPr>
              <w:spacing w:before="120" w:after="120"/>
              <w:ind w:right="115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BF7D8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42.716.644,48</w:t>
            </w:r>
          </w:p>
        </w:tc>
        <w:tc>
          <w:tcPr>
            <w:tcW w:w="979" w:type="pct"/>
          </w:tcPr>
          <w:p w14:paraId="6032723B" w14:textId="2066B5D9" w:rsidR="00EB08BF" w:rsidRPr="00F554DB" w:rsidRDefault="00032B50" w:rsidP="00D90A37">
            <w:pPr>
              <w:spacing w:before="120" w:after="120"/>
              <w:ind w:right="116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61.167.746,41</w:t>
            </w:r>
          </w:p>
        </w:tc>
      </w:tr>
    </w:tbl>
    <w:p w14:paraId="7DADE1FA" w14:textId="376C7D7A" w:rsidR="00F554DB" w:rsidRDefault="00E95EE5" w:rsidP="00F33A8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SSPKPEI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evaluaciju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koristio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kvalitativne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standarde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ekonomsku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6F5166" w:rsidRPr="00C77F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OECD</w:t>
      </w:r>
      <w:r w:rsidR="006F5166" w:rsidRPr="00C77FF0">
        <w:rPr>
          <w:rFonts w:ascii="Times New Roman" w:hAnsi="Times New Roman" w:cs="Times New Roman"/>
          <w:sz w:val="24"/>
          <w:szCs w:val="24"/>
        </w:rPr>
        <w:t>)</w:t>
      </w:r>
      <w:r w:rsidR="00F554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zasnovane</w:t>
      </w:r>
      <w:r w:rsidR="00F5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principima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Komiteta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razvojnu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DAC</w:t>
      </w:r>
      <w:r w:rsidR="002C2CE9" w:rsidRPr="00C77FF0">
        <w:rPr>
          <w:rFonts w:ascii="Times New Roman" w:hAnsi="Times New Roman" w:cs="Times New Roman"/>
          <w:sz w:val="24"/>
          <w:szCs w:val="24"/>
        </w:rPr>
        <w:t>)</w:t>
      </w:r>
      <w:r w:rsidR="00F554DB">
        <w:rPr>
          <w:rFonts w:ascii="Times New Roman" w:hAnsi="Times New Roman" w:cs="Times New Roman"/>
          <w:sz w:val="24"/>
          <w:szCs w:val="24"/>
        </w:rPr>
        <w:t>.</w:t>
      </w:r>
    </w:p>
    <w:p w14:paraId="12C33C1E" w14:textId="4F7A927E" w:rsidR="001914C9" w:rsidRPr="00C77FF0" w:rsidRDefault="00E95EE5" w:rsidP="00F554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evaluacije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procjena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stepena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554DB">
        <w:rPr>
          <w:rFonts w:ascii="Times New Roman" w:hAnsi="Times New Roman" w:cs="Times New Roman"/>
          <w:sz w:val="24"/>
          <w:szCs w:val="24"/>
        </w:rPr>
        <w:t xml:space="preserve"> 201</w:t>
      </w:r>
      <w:r w:rsidR="00801A9D">
        <w:rPr>
          <w:rFonts w:ascii="Times New Roman" w:hAnsi="Times New Roman" w:cs="Times New Roman"/>
          <w:sz w:val="24"/>
          <w:szCs w:val="24"/>
        </w:rPr>
        <w:t>9</w:t>
      </w:r>
      <w:r w:rsidR="00F554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20</w:t>
      </w:r>
      <w:r w:rsidR="00801A9D">
        <w:rPr>
          <w:rFonts w:ascii="Times New Roman" w:hAnsi="Times New Roman" w:cs="Times New Roman"/>
          <w:sz w:val="24"/>
          <w:szCs w:val="24"/>
        </w:rPr>
        <w:t>21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914C9" w:rsidRPr="00C77FF0">
        <w:rPr>
          <w:rFonts w:ascii="Times New Roman" w:hAnsi="Times New Roman" w:cs="Times New Roman"/>
          <w:sz w:val="24"/>
          <w:szCs w:val="24"/>
        </w:rPr>
        <w:t>.</w:t>
      </w:r>
      <w:r w:rsidR="0001756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evaluacije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sačiniti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izvještaj</w:t>
      </w:r>
      <w:r w:rsidR="00F5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procjeni</w:t>
      </w:r>
      <w:r w:rsidR="00F5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postignutih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zadatih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određenim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kriterijima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evaluacije</w:t>
      </w:r>
      <w:r w:rsidR="001914C9" w:rsidRPr="00C77FF0">
        <w:rPr>
          <w:rFonts w:ascii="Times New Roman" w:hAnsi="Times New Roman" w:cs="Times New Roman"/>
          <w:sz w:val="24"/>
          <w:szCs w:val="24"/>
        </w:rPr>
        <w:t>.</w:t>
      </w:r>
    </w:p>
    <w:p w14:paraId="66E60DF5" w14:textId="436815AF" w:rsidR="001914C9" w:rsidRPr="00C77FF0" w:rsidRDefault="00E95EE5" w:rsidP="00F554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Evaluacija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bile</w:t>
      </w:r>
      <w:r w:rsidR="000F4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predmetom</w:t>
      </w:r>
      <w:r w:rsidR="002C2CE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914C9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201</w:t>
      </w:r>
      <w:r w:rsidR="00801A9D">
        <w:rPr>
          <w:rFonts w:ascii="Times New Roman" w:hAnsi="Times New Roman" w:cs="Times New Roman"/>
          <w:sz w:val="24"/>
          <w:szCs w:val="24"/>
        </w:rPr>
        <w:t>9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 20</w:t>
      </w:r>
      <w:r w:rsidR="00801A9D">
        <w:rPr>
          <w:rFonts w:ascii="Times New Roman" w:hAnsi="Times New Roman" w:cs="Times New Roman"/>
          <w:sz w:val="24"/>
          <w:szCs w:val="24"/>
        </w:rPr>
        <w:t>21</w:t>
      </w:r>
      <w:r w:rsidR="00DE4086" w:rsidRPr="00C77F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801A9D">
        <w:rPr>
          <w:rFonts w:ascii="Times New Roman" w:hAnsi="Times New Roman" w:cs="Times New Roman"/>
          <w:sz w:val="24"/>
          <w:szCs w:val="24"/>
        </w:rPr>
        <w:t>.</w:t>
      </w:r>
    </w:p>
    <w:p w14:paraId="22B25FA6" w14:textId="5B5DF138" w:rsidR="00504C84" w:rsidRPr="00504C84" w:rsidRDefault="00E95EE5" w:rsidP="00F554D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Metodološki</w:t>
      </w:r>
      <w:r w:rsidR="00504C84" w:rsidRPr="00504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pristup</w:t>
      </w:r>
    </w:p>
    <w:p w14:paraId="300C2F82" w14:textId="7B018F4B" w:rsidR="00726482" w:rsidRDefault="00E95EE5" w:rsidP="00F554D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pogledu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metodologije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korištene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metode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prikupljanja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podataka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obrade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podataka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dobijeni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direktno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pojedinaca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obrada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postojećih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dokumenata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izvještaja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godišnjih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srednjoročnih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odgovori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evaluacijska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koja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postavljana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tokom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intervjua</w:t>
      </w:r>
      <w:r w:rsidR="002B52E0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polu</w:t>
      </w:r>
      <w:r w:rsidR="002B52E0">
        <w:rPr>
          <w:rFonts w:ascii="Times New Roman" w:hAnsi="Times New Roman" w:cs="Times New Roman"/>
          <w:bCs/>
          <w:sz w:val="24"/>
          <w:szCs w:val="24"/>
        </w:rPr>
        <w:t>-</w:t>
      </w:r>
      <w:r w:rsidR="00B401A1">
        <w:rPr>
          <w:rFonts w:ascii="Times New Roman" w:hAnsi="Times New Roman" w:cs="Times New Roman"/>
          <w:bCs/>
          <w:sz w:val="24"/>
          <w:szCs w:val="24"/>
        </w:rPr>
        <w:t>struktu</w:t>
      </w:r>
      <w:r w:rsidR="00DD47B7">
        <w:rPr>
          <w:rFonts w:ascii="Times New Roman" w:hAnsi="Times New Roman" w:cs="Times New Roman"/>
          <w:bCs/>
          <w:sz w:val="24"/>
          <w:szCs w:val="24"/>
        </w:rPr>
        <w:t>r</w:t>
      </w:r>
      <w:r w:rsidR="00B401A1">
        <w:rPr>
          <w:rFonts w:ascii="Times New Roman" w:hAnsi="Times New Roman" w:cs="Times New Roman"/>
          <w:bCs/>
          <w:sz w:val="24"/>
          <w:szCs w:val="24"/>
        </w:rPr>
        <w:t>ir</w:t>
      </w:r>
      <w:r>
        <w:rPr>
          <w:rFonts w:ascii="Times New Roman" w:hAnsi="Times New Roman" w:cs="Times New Roman"/>
          <w:bCs/>
          <w:sz w:val="24"/>
          <w:szCs w:val="24"/>
        </w:rPr>
        <w:t>ani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intervju</w:t>
      </w:r>
      <w:r w:rsidR="0072648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E875DA6" w14:textId="3FF6ED07" w:rsidR="00D90A37" w:rsidRPr="00F554DB" w:rsidRDefault="00E95EE5" w:rsidP="00F554D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Sam</w:t>
      </w:r>
      <w:r w:rsidR="0072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proces</w:t>
      </w:r>
      <w:r w:rsidR="00D90A37" w:rsidRPr="00F5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evaluacije</w:t>
      </w:r>
      <w:r w:rsidR="00D90A37" w:rsidRPr="00F5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D90A37" w:rsidRPr="00F55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odvijao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tri</w:t>
      </w:r>
      <w:r w:rsidR="007C2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faze</w:t>
      </w:r>
      <w:r w:rsidR="007C26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DE6A61" w14:textId="77777777" w:rsidR="002B52E0" w:rsidRDefault="002B52E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14:paraId="0A2097D4" w14:textId="609A0E17" w:rsidR="00801A9D" w:rsidRPr="00ED649A" w:rsidRDefault="00E95EE5" w:rsidP="002B52E0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lastRenderedPageBreak/>
        <w:t>Prva</w:t>
      </w:r>
      <w:r w:rsidR="00D90A37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faza</w:t>
      </w:r>
      <w:r w:rsidR="00D90A37" w:rsidRPr="00ED649A">
        <w:rPr>
          <w:rFonts w:ascii="Times New Roman" w:hAnsi="Times New Roman" w:cs="Times New Roman"/>
          <w:bCs/>
          <w:i/>
        </w:rPr>
        <w:t xml:space="preserve"> –</w:t>
      </w:r>
      <w:r w:rsidR="00232F97" w:rsidRPr="00ED649A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metodološka</w:t>
      </w:r>
      <w:r w:rsidR="00FE7302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priprema</w:t>
      </w:r>
      <w:r w:rsidR="00FE7302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i</w:t>
      </w:r>
      <w:r w:rsidR="00FE7302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analiza</w:t>
      </w:r>
      <w:r w:rsidR="007C2670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dokumentacije</w:t>
      </w:r>
      <w:r w:rsidR="007C2670" w:rsidRPr="00ED649A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Po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zahtjevu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izradom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evaluacijskog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izvještaja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ocijenjeno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7338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</w:t>
      </w:r>
      <w:r w:rsidR="007338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</w:t>
      </w:r>
      <w:r w:rsidR="00801A9D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kao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prethodnom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periodu</w:t>
      </w:r>
      <w:r w:rsidR="00801A9D" w:rsidRPr="00ED649A">
        <w:rPr>
          <w:rFonts w:ascii="Times New Roman" w:hAnsi="Times New Roman" w:cs="Times New Roman"/>
          <w:bCs/>
        </w:rPr>
        <w:t>,</w:t>
      </w:r>
      <w:r w:rsidR="007338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zbog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ograničenosti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vremena</w:t>
      </w:r>
      <w:r w:rsidR="00801A9D" w:rsidRPr="00ED649A">
        <w:rPr>
          <w:rFonts w:ascii="Times New Roman" w:hAnsi="Times New Roman" w:cs="Times New Roman"/>
          <w:bCs/>
        </w:rPr>
        <w:t>,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ljudskih</w:t>
      </w:r>
      <w:r w:rsidR="00801A9D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ali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drugih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resursa</w:t>
      </w:r>
      <w:r w:rsidR="00801A9D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te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stanja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pandemije</w:t>
      </w:r>
      <w:r w:rsidR="00801A9D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ipak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provede</w:t>
      </w:r>
      <w:r w:rsidR="007338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interna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evaluacija</w:t>
      </w:r>
      <w:r w:rsidR="00726482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</w:t>
      </w:r>
      <w:r w:rsidR="002B52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</w:t>
      </w:r>
      <w:r w:rsidR="002B52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nakon</w:t>
      </w:r>
      <w:r w:rsidR="002B52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interne</w:t>
      </w:r>
      <w:r w:rsidR="002B52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organizuje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 w:rsidR="009A2ED5">
        <w:rPr>
          <w:rFonts w:ascii="Times New Roman" w:hAnsi="Times New Roman" w:cs="Times New Roman"/>
          <w:bCs/>
        </w:rPr>
        <w:t>provođenje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eksterne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evaluacije</w:t>
      </w:r>
      <w:r w:rsidR="00726482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za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koju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MP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BiH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ima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odobrena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budžetska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skredstva</w:t>
      </w:r>
      <w:r w:rsidR="00726482" w:rsidRPr="00ED649A">
        <w:rPr>
          <w:rFonts w:ascii="Times New Roman" w:hAnsi="Times New Roman" w:cs="Times New Roman"/>
          <w:bCs/>
        </w:rPr>
        <w:t>.</w:t>
      </w:r>
    </w:p>
    <w:p w14:paraId="1F6D506C" w14:textId="12A70584" w:rsidR="00D90A37" w:rsidRPr="00ED649A" w:rsidRDefault="00E95EE5" w:rsidP="002B52E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Po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uputstvu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DEP</w:t>
      </w:r>
      <w:r w:rsidR="007C2670" w:rsidRPr="00ED649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pripremljena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metodologija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 w:rsidR="009A2ED5">
        <w:rPr>
          <w:rFonts w:ascii="Times New Roman" w:hAnsi="Times New Roman" w:cs="Times New Roman"/>
          <w:bCs/>
        </w:rPr>
        <w:t>provođenje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samog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postupka</w:t>
      </w:r>
      <w:r w:rsidR="00026CA8" w:rsidRPr="00ED649A">
        <w:rPr>
          <w:rFonts w:ascii="Times New Roman" w:hAnsi="Times New Roman" w:cs="Times New Roman"/>
          <w:bCs/>
        </w:rPr>
        <w:t>.</w:t>
      </w:r>
      <w:r w:rsidR="00FE7302" w:rsidRPr="00ED64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skladu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zadatom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metodologijom</w:t>
      </w:r>
      <w:r w:rsidR="002C2CE9" w:rsidRPr="00ED649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SSPKPEI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analizirao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dokumentaciju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navedenu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Prilogu</w:t>
      </w:r>
      <w:r w:rsidR="00D90A37" w:rsidRPr="00ED649A">
        <w:rPr>
          <w:rFonts w:ascii="Times New Roman" w:hAnsi="Times New Roman" w:cs="Times New Roman"/>
          <w:bCs/>
        </w:rPr>
        <w:t xml:space="preserve"> 2</w:t>
      </w:r>
      <w:r w:rsidR="002C2CE9" w:rsidRPr="00ED649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ovog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izvještaja</w:t>
      </w:r>
      <w:r w:rsidR="002C2CE9" w:rsidRPr="00ED649A">
        <w:rPr>
          <w:rFonts w:ascii="Times New Roman" w:hAnsi="Times New Roman" w:cs="Times New Roman"/>
          <w:bCs/>
        </w:rPr>
        <w:t>.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osnovu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te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analize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napravljena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procjena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logičke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intervencije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SPR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MP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BiH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pripremljena</w:t>
      </w:r>
      <w:r w:rsidR="00726482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odnosno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modifikovana</w:t>
      </w:r>
      <w:r w:rsidR="00DD47B7">
        <w:rPr>
          <w:rFonts w:ascii="Times New Roman" w:hAnsi="Times New Roman" w:cs="Times New Roman"/>
          <w:bCs/>
        </w:rPr>
        <w:t xml:space="preserve"> su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pitanja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</w:t>
      </w:r>
      <w:r w:rsidR="00801A9D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intervjuu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 w:rsidR="007C2670" w:rsidRPr="00ED64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upitnik</w:t>
      </w:r>
      <w:r w:rsidR="007C2670" w:rsidRPr="00ED649A">
        <w:rPr>
          <w:rFonts w:ascii="Times New Roman" w:hAnsi="Times New Roman" w:cs="Times New Roman"/>
          <w:bCs/>
        </w:rPr>
        <w:t>)</w:t>
      </w:r>
      <w:r w:rsidR="00D90A37" w:rsidRPr="00ED649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Kako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proveo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postupak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izvršen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odabir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potencijalnih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jedinica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osoba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MP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BiH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preporučenim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ključnim</w:t>
      </w:r>
      <w:r w:rsidR="00FE730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institucijama</w:t>
      </w:r>
      <w:r w:rsidR="002C2CE9" w:rsidRPr="00ED649A">
        <w:rPr>
          <w:rFonts w:ascii="Times New Roman" w:hAnsi="Times New Roman" w:cs="Times New Roman"/>
          <w:bCs/>
        </w:rPr>
        <w:t xml:space="preserve"> </w:t>
      </w:r>
      <w:r w:rsidR="00726482" w:rsidRPr="00ED64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vidjeti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Prilog</w:t>
      </w:r>
      <w:r w:rsidR="00726482" w:rsidRPr="00ED649A">
        <w:rPr>
          <w:rFonts w:ascii="Times New Roman" w:hAnsi="Times New Roman" w:cs="Times New Roman"/>
          <w:bCs/>
        </w:rPr>
        <w:t xml:space="preserve"> 1), </w:t>
      </w:r>
      <w:r>
        <w:rPr>
          <w:rFonts w:ascii="Times New Roman" w:hAnsi="Times New Roman" w:cs="Times New Roman"/>
          <w:bCs/>
        </w:rPr>
        <w:t>uzimajući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obzir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polnu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strukturu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intervjui</w:t>
      </w:r>
      <w:r w:rsidR="00B401A1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anih</w:t>
      </w:r>
      <w:r w:rsidR="00726482" w:rsidRPr="00ED649A">
        <w:rPr>
          <w:rFonts w:ascii="Times New Roman" w:hAnsi="Times New Roman" w:cs="Times New Roman"/>
          <w:bCs/>
        </w:rPr>
        <w:t>.</w:t>
      </w:r>
    </w:p>
    <w:p w14:paraId="3FB2FFBF" w14:textId="1E7708D2" w:rsidR="00D90A37" w:rsidRPr="00ED649A" w:rsidRDefault="00E95EE5" w:rsidP="002B52E0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Druga</w:t>
      </w:r>
      <w:r w:rsidR="00D90A37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faza</w:t>
      </w:r>
      <w:r w:rsidR="00D90A37" w:rsidRPr="00ED649A">
        <w:rPr>
          <w:rFonts w:ascii="Times New Roman" w:hAnsi="Times New Roman" w:cs="Times New Roman"/>
          <w:bCs/>
          <w:i/>
        </w:rPr>
        <w:t xml:space="preserve"> – </w:t>
      </w:r>
      <w:r>
        <w:rPr>
          <w:rFonts w:ascii="Times New Roman" w:hAnsi="Times New Roman" w:cs="Times New Roman"/>
          <w:b/>
          <w:bCs/>
          <w:i/>
        </w:rPr>
        <w:t>prikupljanje</w:t>
      </w:r>
      <w:r w:rsidR="00D90A37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podataka</w:t>
      </w:r>
      <w:r w:rsidR="00D90A37" w:rsidRPr="00ED649A">
        <w:rPr>
          <w:rFonts w:ascii="Times New Roman" w:hAnsi="Times New Roman" w:cs="Times New Roman"/>
          <w:b/>
          <w:bCs/>
          <w:i/>
        </w:rPr>
        <w:t>/</w:t>
      </w:r>
      <w:r w:rsidR="009A2ED5">
        <w:rPr>
          <w:rFonts w:ascii="Times New Roman" w:hAnsi="Times New Roman" w:cs="Times New Roman"/>
          <w:b/>
          <w:bCs/>
          <w:i/>
        </w:rPr>
        <w:t>provođenje</w:t>
      </w:r>
      <w:r w:rsidR="00D90A37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procesa</w:t>
      </w:r>
      <w:r w:rsidR="00D90A37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intervjua</w:t>
      </w:r>
      <w:r w:rsidR="007C2670" w:rsidRPr="00ED649A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periodu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</w:t>
      </w:r>
      <w:r w:rsidR="00414B53" w:rsidRPr="00ED649A">
        <w:rPr>
          <w:rFonts w:ascii="Times New Roman" w:hAnsi="Times New Roman" w:cs="Times New Roman"/>
          <w:bCs/>
        </w:rPr>
        <w:t xml:space="preserve"> </w:t>
      </w:r>
      <w:r w:rsidR="002B52E0" w:rsidRPr="00ED649A">
        <w:rPr>
          <w:rFonts w:ascii="Times New Roman" w:hAnsi="Times New Roman" w:cs="Times New Roman"/>
          <w:bCs/>
        </w:rPr>
        <w:t>0</w:t>
      </w:r>
      <w:r w:rsidR="00414B53" w:rsidRPr="00ED649A">
        <w:rPr>
          <w:rFonts w:ascii="Times New Roman" w:hAnsi="Times New Roman" w:cs="Times New Roman"/>
          <w:bCs/>
        </w:rPr>
        <w:t xml:space="preserve">7. </w:t>
      </w:r>
      <w:r>
        <w:rPr>
          <w:rFonts w:ascii="Times New Roman" w:hAnsi="Times New Roman" w:cs="Times New Roman"/>
          <w:bCs/>
        </w:rPr>
        <w:t>do</w:t>
      </w:r>
      <w:r w:rsidR="00414B53" w:rsidRPr="00ED649A">
        <w:rPr>
          <w:rFonts w:ascii="Times New Roman" w:hAnsi="Times New Roman" w:cs="Times New Roman"/>
          <w:bCs/>
        </w:rPr>
        <w:t xml:space="preserve"> 22. </w:t>
      </w:r>
      <w:r w:rsidR="002B52E0" w:rsidRPr="00ED649A">
        <w:rPr>
          <w:rFonts w:ascii="Times New Roman" w:hAnsi="Times New Roman" w:cs="Times New Roman"/>
          <w:bCs/>
        </w:rPr>
        <w:t>07.</w:t>
      </w:r>
      <w:r w:rsidR="00414B53" w:rsidRPr="00ED649A">
        <w:rPr>
          <w:rFonts w:ascii="Times New Roman" w:hAnsi="Times New Roman" w:cs="Times New Roman"/>
          <w:bCs/>
        </w:rPr>
        <w:t xml:space="preserve"> 2022.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godine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obavljeni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intervjui</w:t>
      </w:r>
      <w:r w:rsidR="00D90A37" w:rsidRPr="00ED649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Unutar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MP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BiH</w:t>
      </w:r>
      <w:r w:rsidR="00BB5E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obavljena</w:t>
      </w:r>
      <w:r w:rsidR="00414B53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414B53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tri</w:t>
      </w:r>
      <w:r w:rsidR="00F5472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odvojena</w:t>
      </w:r>
      <w:r w:rsidR="00BB5E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intervjua</w:t>
      </w:r>
      <w:r w:rsidR="00BB5EDE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 w:rsidR="00B401A1">
        <w:rPr>
          <w:rFonts w:ascii="Times New Roman" w:hAnsi="Times New Roman" w:cs="Times New Roman"/>
          <w:bCs/>
        </w:rPr>
        <w:t>intervjuir</w:t>
      </w:r>
      <w:r>
        <w:rPr>
          <w:rFonts w:ascii="Times New Roman" w:hAnsi="Times New Roman" w:cs="Times New Roman"/>
          <w:bCs/>
        </w:rPr>
        <w:t>ane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četiri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osobe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od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čega</w:t>
      </w:r>
      <w:r w:rsidR="00BB5EDE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dvije</w:t>
      </w:r>
      <w:r w:rsidR="00414B53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žene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dva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muškaraca</w:t>
      </w:r>
      <w:r w:rsidR="00D90A37" w:rsidRPr="00ED649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Pored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pomenutih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intervjua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 w:rsidR="00DD47B7">
        <w:rPr>
          <w:rFonts w:ascii="Times New Roman" w:hAnsi="Times New Roman" w:cs="Times New Roman"/>
          <w:bCs/>
        </w:rPr>
        <w:t>obavljeni</w:t>
      </w:r>
      <w:r w:rsidR="000F4AFD" w:rsidRPr="00ED649A">
        <w:rPr>
          <w:rFonts w:ascii="Times New Roman" w:hAnsi="Times New Roman" w:cs="Times New Roman"/>
          <w:bCs/>
          <w:lang w:val="sr-Cyrl-BA"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predstavnicima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DEP</w:t>
      </w:r>
      <w:r w:rsidR="00D90A37" w:rsidRPr="00ED649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Ministarstva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finansija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trezora</w:t>
      </w:r>
      <w:r w:rsidR="00026CA8" w:rsidRPr="00ED649A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MFT</w:t>
      </w:r>
      <w:r w:rsidR="00026CA8" w:rsidRPr="00ED649A">
        <w:rPr>
          <w:rFonts w:ascii="Times New Roman" w:hAnsi="Times New Roman" w:cs="Times New Roman"/>
          <w:bCs/>
        </w:rPr>
        <w:t>)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 w:rsidR="00B401A1">
        <w:rPr>
          <w:rFonts w:ascii="Times New Roman" w:hAnsi="Times New Roman" w:cs="Times New Roman"/>
          <w:bCs/>
        </w:rPr>
        <w:t xml:space="preserve">tri </w:t>
      </w:r>
      <w:r>
        <w:rPr>
          <w:rFonts w:ascii="Times New Roman" w:hAnsi="Times New Roman" w:cs="Times New Roman"/>
          <w:bCs/>
        </w:rPr>
        <w:t>osobe</w:t>
      </w:r>
      <w:r w:rsidR="00726482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od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kojih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 w:rsidR="00B401A1">
        <w:rPr>
          <w:rFonts w:ascii="Times New Roman" w:hAnsi="Times New Roman" w:cs="Times New Roman"/>
          <w:bCs/>
        </w:rPr>
        <w:t>dvije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žene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jedan</w:t>
      </w:r>
      <w:r w:rsidR="00726482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muškarac</w:t>
      </w:r>
      <w:r w:rsidR="00726482" w:rsidRPr="00ED649A">
        <w:rPr>
          <w:rFonts w:ascii="Times New Roman" w:hAnsi="Times New Roman" w:cs="Times New Roman"/>
          <w:bCs/>
        </w:rPr>
        <w:t>.</w:t>
      </w:r>
    </w:p>
    <w:p w14:paraId="510A2B49" w14:textId="4EFFBD28" w:rsidR="00D90A37" w:rsidRPr="00ED649A" w:rsidRDefault="00E95EE5" w:rsidP="002B52E0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Prilikom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intervjua</w:t>
      </w:r>
      <w:r w:rsidR="00D90A37" w:rsidRPr="00ED649A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sastanka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uzeto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obzir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</w:t>
      </w:r>
      <w:r w:rsidR="00D90A37" w:rsidRPr="00ED649A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prikupljaju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podaci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različitih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izvora</w:t>
      </w:r>
      <w:r w:rsidR="00026CA8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vrši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eventualno</w:t>
      </w:r>
      <w:r w:rsidR="00026CA8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trostruko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provjeravanje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informacija</w:t>
      </w:r>
      <w:r w:rsidR="007C2670" w:rsidRPr="00ED649A">
        <w:rPr>
          <w:rFonts w:ascii="Times New Roman" w:hAnsi="Times New Roman" w:cs="Times New Roman"/>
          <w:bCs/>
        </w:rPr>
        <w:t>,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što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detaljnije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istraže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uzročno</w:t>
      </w:r>
      <w:r w:rsidR="00D90A37" w:rsidRPr="00ED649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posljedične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veze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obradi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pitanja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vezanih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učinkovitost</w:t>
      </w:r>
      <w:r w:rsidR="007C2670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adekvatno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reaguje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komentare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sugestije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strane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zaposlenih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nastojeći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iste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uz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zadržavanje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profesionalne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odgovornosti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nepristrasnosti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maksimalno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uvaži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ne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dovodeći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tom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pitanje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kvalitetu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rezultata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same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evaluacije</w:t>
      </w:r>
      <w:r w:rsidR="00D90A37" w:rsidRPr="00ED649A">
        <w:rPr>
          <w:rFonts w:ascii="Times New Roman" w:hAnsi="Times New Roman" w:cs="Times New Roman"/>
          <w:bCs/>
        </w:rPr>
        <w:t>.</w:t>
      </w:r>
    </w:p>
    <w:p w14:paraId="0E2B74C0" w14:textId="3627E381" w:rsidR="006D6FCD" w:rsidRPr="00ED649A" w:rsidRDefault="00E95EE5" w:rsidP="002B52E0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</w:rPr>
        <w:t>Treća</w:t>
      </w:r>
      <w:r w:rsidR="007C2670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faza</w:t>
      </w:r>
      <w:r w:rsidR="007C2670" w:rsidRPr="00ED649A">
        <w:rPr>
          <w:rFonts w:ascii="Times New Roman" w:hAnsi="Times New Roman" w:cs="Times New Roman"/>
          <w:bCs/>
          <w:i/>
        </w:rPr>
        <w:t xml:space="preserve"> – </w:t>
      </w:r>
      <w:r>
        <w:rPr>
          <w:rFonts w:ascii="Times New Roman" w:hAnsi="Times New Roman" w:cs="Times New Roman"/>
          <w:b/>
          <w:bCs/>
          <w:i/>
        </w:rPr>
        <w:t>pisanje</w:t>
      </w:r>
      <w:r w:rsidR="007C2670" w:rsidRPr="00ED649A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b/>
          <w:bCs/>
          <w:i/>
        </w:rPr>
        <w:t>izvještaja</w:t>
      </w:r>
      <w:r w:rsidR="007C2670" w:rsidRPr="00ED649A">
        <w:rPr>
          <w:rFonts w:ascii="Times New Roman" w:hAnsi="Times New Roman" w:cs="Times New Roman"/>
          <w:bCs/>
          <w:i/>
        </w:rPr>
        <w:t xml:space="preserve"> -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predmetnom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izvještaju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dat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prikaz</w:t>
      </w:r>
      <w:r w:rsidR="00A056E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uzročno</w:t>
      </w:r>
      <w:r w:rsidR="007C2670" w:rsidRPr="00ED649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posljedične</w:t>
      </w:r>
      <w:r w:rsidR="007C2670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veze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između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nalaza</w:t>
      </w:r>
      <w:r w:rsidR="00D90A37" w:rsidRPr="00ED649A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zaključaka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D90A37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preporuka</w:t>
      </w:r>
      <w:r w:rsidR="00D90A37" w:rsidRPr="00ED649A">
        <w:rPr>
          <w:rFonts w:ascii="Times New Roman" w:hAnsi="Times New Roman" w:cs="Times New Roman"/>
          <w:bCs/>
        </w:rPr>
        <w:t>.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Principi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rada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su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se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odnosili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na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poštovanje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nezavisnosti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samostalnosti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radu</w:t>
      </w:r>
      <w:r w:rsidR="00F554DB" w:rsidRPr="00ED649A">
        <w:rPr>
          <w:rFonts w:ascii="Times New Roman" w:hAnsi="Times New Roman" w:cs="Times New Roman"/>
          <w:bCs/>
        </w:rPr>
        <w:t>,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uz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saradnju</w:t>
      </w:r>
      <w:r w:rsidR="006E1DF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ostalih</w:t>
      </w:r>
      <w:r w:rsidR="00F54721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organizacionih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jedinica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MP</w:t>
      </w:r>
      <w:r w:rsidR="00F554DB" w:rsidRPr="00ED64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BiH</w:t>
      </w:r>
      <w:r w:rsidR="00F554DB" w:rsidRPr="00ED649A">
        <w:rPr>
          <w:rFonts w:ascii="Times New Roman" w:hAnsi="Times New Roman" w:cs="Times New Roman"/>
          <w:bCs/>
        </w:rPr>
        <w:t>.</w:t>
      </w:r>
    </w:p>
    <w:p w14:paraId="342AAC70" w14:textId="5FC12364" w:rsidR="00B40EC2" w:rsidRPr="00ED649A" w:rsidRDefault="00E95EE5" w:rsidP="002B52E0">
      <w:pPr>
        <w:spacing w:after="120" w:line="240" w:lineRule="auto"/>
        <w:jc w:val="both"/>
        <w:rPr>
          <w:rFonts w:ascii="Times New Roman" w:eastAsia="PMingLiU" w:hAnsi="Times New Roman" w:cs="Times New Roman"/>
          <w:iCs/>
          <w:lang w:eastAsia="zh-TW" w:bidi="as-IN"/>
        </w:rPr>
      </w:pPr>
      <w:r>
        <w:rPr>
          <w:rFonts w:ascii="Times New Roman" w:eastAsia="PMingLiU" w:hAnsi="Times New Roman" w:cs="Times New Roman"/>
          <w:iCs/>
          <w:lang w:eastAsia="zh-TW" w:bidi="as-IN"/>
        </w:rPr>
        <w:t>Prema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podacima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prikupljenim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kroz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intervjue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vidljivo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kako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veći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dio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 w:rsidR="00B401A1">
        <w:rPr>
          <w:rFonts w:ascii="Times New Roman" w:eastAsia="PMingLiU" w:hAnsi="Times New Roman" w:cs="Times New Roman"/>
          <w:iCs/>
          <w:lang w:eastAsia="zh-TW" w:bidi="as-IN"/>
        </w:rPr>
        <w:t>intervjuiranih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upoznat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dijelovima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SPR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MP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BiH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pratećim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Akcionim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planom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ali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strateškim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okvirom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koji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osnova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pripremu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dokumenta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najvećoj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mjeri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predstavnici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 w:rsidR="00B401A1">
        <w:rPr>
          <w:rFonts w:ascii="Times New Roman" w:eastAsia="PMingLiU" w:hAnsi="Times New Roman" w:cs="Times New Roman"/>
          <w:iCs/>
          <w:lang w:eastAsia="zh-TW" w:bidi="as-IN"/>
        </w:rPr>
        <w:t>intervjuiranih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institucija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su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odgovorili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kako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su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bolje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detaljnije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upoznati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procesom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planiranja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nego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ranijih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godina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uvođenje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strukture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planiranje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dovelo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organizacionog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reda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tako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što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su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jednom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mjestu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sistematski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poredani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planski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zadaci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institucije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omogućeno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lakše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praćenje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pripremanje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izvještaja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Smanjenje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broja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programa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projekata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rezult</w:t>
      </w:r>
      <w:r w:rsidR="00426641">
        <w:rPr>
          <w:rFonts w:ascii="Times New Roman" w:eastAsia="PMingLiU" w:hAnsi="Times New Roman" w:cs="Times New Roman"/>
          <w:iCs/>
          <w:lang w:eastAsia="zh-TW" w:bidi="as-IN"/>
        </w:rPr>
        <w:t>ir</w:t>
      </w:r>
      <w:r>
        <w:rPr>
          <w:rFonts w:ascii="Times New Roman" w:eastAsia="PMingLiU" w:hAnsi="Times New Roman" w:cs="Times New Roman"/>
          <w:iCs/>
          <w:lang w:eastAsia="zh-TW" w:bidi="as-IN"/>
        </w:rPr>
        <w:t>alo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smanjenj</w:t>
      </w:r>
      <w:r>
        <w:rPr>
          <w:rFonts w:ascii="Times New Roman" w:eastAsia="PMingLiU" w:hAnsi="Times New Roman" w:cs="Times New Roman"/>
          <w:iCs/>
          <w:lang w:val="sr-Cyrl-BA" w:eastAsia="zh-TW" w:bidi="as-IN"/>
        </w:rPr>
        <w:t>e</w:t>
      </w:r>
      <w:r>
        <w:rPr>
          <w:rFonts w:ascii="Times New Roman" w:eastAsia="PMingLiU" w:hAnsi="Times New Roman" w:cs="Times New Roman"/>
          <w:iCs/>
          <w:lang w:eastAsia="zh-TW" w:bidi="as-IN"/>
        </w:rPr>
        <w:t>m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broj</w:t>
      </w:r>
      <w:r>
        <w:rPr>
          <w:rFonts w:ascii="Times New Roman" w:eastAsia="PMingLiU" w:hAnsi="Times New Roman" w:cs="Times New Roman"/>
          <w:iCs/>
          <w:lang w:val="sr-Cyrl-BA" w:eastAsia="zh-TW" w:bidi="as-IN"/>
        </w:rPr>
        <w:t>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pokazatelja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te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doprinjelo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jednostavnijem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izgledu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samog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dokumenta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koji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manje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opt</w:t>
      </w:r>
      <w:r>
        <w:rPr>
          <w:rFonts w:ascii="Times New Roman" w:eastAsia="PMingLiU" w:hAnsi="Times New Roman" w:cs="Times New Roman"/>
          <w:iCs/>
          <w:lang w:val="sr-Cyrl-BA" w:eastAsia="zh-TW" w:bidi="as-IN"/>
        </w:rPr>
        <w:t>e</w:t>
      </w:r>
      <w:r>
        <w:rPr>
          <w:rFonts w:ascii="Times New Roman" w:eastAsia="PMingLiU" w:hAnsi="Times New Roman" w:cs="Times New Roman"/>
          <w:iCs/>
          <w:lang w:eastAsia="zh-TW" w:bidi="as-IN"/>
        </w:rPr>
        <w:t>rećen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lakši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snalaženje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što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učesnici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sastan</w:t>
      </w:r>
      <w:r>
        <w:rPr>
          <w:rFonts w:ascii="Times New Roman" w:eastAsia="PMingLiU" w:hAnsi="Times New Roman" w:cs="Times New Roman"/>
          <w:iCs/>
          <w:lang w:val="sr-Cyrl-BA" w:eastAsia="zh-TW" w:bidi="as-IN"/>
        </w:rPr>
        <w:t>a</w:t>
      </w:r>
      <w:r>
        <w:rPr>
          <w:rFonts w:ascii="Times New Roman" w:eastAsia="PMingLiU" w:hAnsi="Times New Roman" w:cs="Times New Roman"/>
          <w:iCs/>
          <w:lang w:eastAsia="zh-TW" w:bidi="as-IN"/>
        </w:rPr>
        <w:t>ka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pozdravili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Predstavnici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organizacionih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jedinica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MP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BiH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su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naveli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dobro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poznaju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pojedine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dijelove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SPR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MP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BiH</w:t>
      </w:r>
      <w:r w:rsidR="00F60E1E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koji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odnose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njihovu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organizacionu</w:t>
      </w:r>
      <w:r w:rsidR="0074767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jedinicu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dok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ostale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dijelove</w:t>
      </w:r>
      <w:r w:rsidR="00A056E0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poznaju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potrebi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te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tako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koriste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Uporište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prethodne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projecene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izrade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propisa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nalaze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SPR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>-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vode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godišnjim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planovima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rada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s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često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nameće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potreba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jasnijim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definisanjem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kako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šta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ukoliko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određeni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normativno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>-</w:t>
      </w:r>
      <w:r>
        <w:rPr>
          <w:rFonts w:ascii="Times New Roman" w:eastAsia="PMingLiU" w:hAnsi="Times New Roman" w:cs="Times New Roman"/>
          <w:iCs/>
          <w:lang w:eastAsia="zh-TW" w:bidi="as-IN"/>
        </w:rPr>
        <w:t>pravni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popis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institucija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izradi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isti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od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strane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organizacionih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jedinica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bude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upućen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dalju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proceduru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ali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povratna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informacija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izostane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ili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isti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bude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vraćen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dorade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slično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da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li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taj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propis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ponovo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unijeti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Akcioni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naredni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period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Do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sada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se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to</w:t>
      </w:r>
      <w:r w:rsidR="00EB08BF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prevazilazilo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pisanjem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istih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stavljanjem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jasne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napomene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gdje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kojoj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fazi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dokument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nalazi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Neopodno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narednom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periodu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dati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jasnu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nedvosmislenu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uputu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kako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postupati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tim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slučajevima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>.</w:t>
      </w:r>
    </w:p>
    <w:p w14:paraId="6426117D" w14:textId="0DAE19A2" w:rsidR="00747672" w:rsidRPr="00ED649A" w:rsidRDefault="00E95EE5" w:rsidP="00747672">
      <w:pPr>
        <w:spacing w:after="0" w:line="240" w:lineRule="auto"/>
        <w:jc w:val="both"/>
        <w:rPr>
          <w:rFonts w:ascii="Times New Roman" w:eastAsia="PMingLiU" w:hAnsi="Times New Roman" w:cs="Times New Roman"/>
          <w:iCs/>
          <w:lang w:eastAsia="zh-TW" w:bidi="as-IN"/>
        </w:rPr>
      </w:pPr>
      <w:r>
        <w:rPr>
          <w:rFonts w:ascii="Times New Roman" w:eastAsia="PMingLiU" w:hAnsi="Times New Roman" w:cs="Times New Roman"/>
          <w:iCs/>
          <w:lang w:eastAsia="zh-TW" w:bidi="as-IN"/>
        </w:rPr>
        <w:t>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svrhu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što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veće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 w:rsidR="00426641">
        <w:rPr>
          <w:rFonts w:ascii="Times New Roman" w:eastAsia="PMingLiU" w:hAnsi="Times New Roman" w:cs="Times New Roman"/>
          <w:iCs/>
          <w:lang w:eastAsia="zh-TW" w:bidi="as-IN"/>
        </w:rPr>
        <w:t>informir</w:t>
      </w:r>
      <w:r>
        <w:rPr>
          <w:rFonts w:ascii="Times New Roman" w:eastAsia="PMingLiU" w:hAnsi="Times New Roman" w:cs="Times New Roman"/>
          <w:iCs/>
          <w:lang w:eastAsia="zh-TW" w:bidi="as-IN"/>
        </w:rPr>
        <w:t>anosti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SSPKPEI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redovno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upućuje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potrebne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elektronske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poruke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svim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organizacionim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jedinicama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kojim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održava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 w:rsidR="00426641">
        <w:rPr>
          <w:rFonts w:ascii="Times New Roman" w:eastAsia="PMingLiU" w:hAnsi="Times New Roman" w:cs="Times New Roman"/>
          <w:iCs/>
          <w:lang w:eastAsia="zh-TW" w:bidi="as-IN"/>
        </w:rPr>
        <w:t>informiranost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institucije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uvezanost</w:t>
      </w:r>
      <w:r w:rsidR="00B9760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</w:t>
      </w:r>
      <w:r w:rsidR="00B9760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procesima</w:t>
      </w:r>
      <w:r w:rsidR="00B9760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srednjoročnog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godišnjeg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planiranja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iCs/>
          <w:lang w:eastAsia="zh-TW" w:bidi="as-IN"/>
        </w:rPr>
        <w:t>Nastoji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koordinator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iCs/>
          <w:lang w:eastAsia="zh-TW" w:bidi="as-IN"/>
        </w:rPr>
        <w:t>provođenja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pomenutih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aktivnosti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putem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čestih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sastanaka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telefonske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elektronske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komunikacije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saradnje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skreće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pažnju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značaj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strateškog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planiranja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unutar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institucije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. </w:t>
      </w:r>
      <w:r w:rsidR="00426641">
        <w:rPr>
          <w:rFonts w:ascii="Times New Roman" w:eastAsia="PMingLiU" w:hAnsi="Times New Roman" w:cs="Times New Roman"/>
          <w:iCs/>
          <w:lang w:eastAsia="zh-TW" w:bidi="as-IN"/>
        </w:rPr>
        <w:t>Također</w:t>
      </w:r>
      <w:r w:rsidR="00EB2827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objavljuje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sadržaje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razne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dokumente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iz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ove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oblasti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na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internet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stranici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MP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lang w:eastAsia="zh-TW" w:bidi="as-IN"/>
        </w:rPr>
        <w:t>kao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Akcioni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plan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i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SPR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MP</w:t>
      </w:r>
      <w:r w:rsidR="00F54721" w:rsidRPr="00ED649A">
        <w:rPr>
          <w:rFonts w:ascii="Times New Roman" w:eastAsia="PMingLiU" w:hAnsi="Times New Roman" w:cs="Times New Roman"/>
          <w:iCs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lang w:eastAsia="zh-TW" w:bidi="as-IN"/>
        </w:rPr>
        <w:t>BiH</w:t>
      </w:r>
      <w:r w:rsidR="00B40EC2" w:rsidRPr="00ED649A">
        <w:rPr>
          <w:rFonts w:ascii="Times New Roman" w:eastAsia="PMingLiU" w:hAnsi="Times New Roman" w:cs="Times New Roman"/>
          <w:iCs/>
          <w:lang w:eastAsia="zh-TW" w:bidi="as-IN"/>
        </w:rPr>
        <w:t>.</w:t>
      </w:r>
    </w:p>
    <w:p w14:paraId="2379C938" w14:textId="6D55A3B8" w:rsidR="00D54E99" w:rsidRDefault="00D54E99">
      <w:pP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br w:type="page"/>
      </w:r>
    </w:p>
    <w:p w14:paraId="122936E6" w14:textId="6A7FF2F9" w:rsidR="00504C84" w:rsidRPr="00504C84" w:rsidRDefault="00E95EE5" w:rsidP="00F33A8B">
      <w:pP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lastRenderedPageBreak/>
        <w:t>Rezultat</w:t>
      </w:r>
      <w:r w:rsidR="00504C84" w:rsidRPr="00504C84"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>korištenih</w:t>
      </w:r>
      <w:r w:rsidR="00504C84" w:rsidRPr="00504C84"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>evalucijskih</w:t>
      </w:r>
      <w:r w:rsidR="00504C84" w:rsidRPr="00504C84"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>kriterija</w:t>
      </w:r>
      <w:r w:rsidR="00504C84"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>i</w:t>
      </w:r>
      <w:r w:rsidR="00504C84"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iCs/>
          <w:sz w:val="24"/>
          <w:szCs w:val="24"/>
          <w:lang w:eastAsia="zh-TW" w:bidi="as-IN"/>
        </w:rPr>
        <w:t>pitanja</w:t>
      </w:r>
    </w:p>
    <w:p w14:paraId="522BC8F4" w14:textId="0F60166F" w:rsidR="006E1DF1" w:rsidRPr="00C77FF0" w:rsidRDefault="00E95EE5" w:rsidP="00F33A8B">
      <w:pP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</w:t>
      </w:r>
      <w:r w:rsidR="006E1DF1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nastavku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predstavljamo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najinteresantnija</w:t>
      </w:r>
      <w:r w:rsidR="00F60E1E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zapažanja</w:t>
      </w:r>
      <w:r w:rsidR="006E1DF1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učesnika</w:t>
      </w:r>
      <w:r w:rsidR="006E1DF1" w:rsidRPr="00C77FF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intervjua</w:t>
      </w:r>
      <w:r w:rsidR="007C267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:</w:t>
      </w:r>
    </w:p>
    <w:p w14:paraId="74C929B4" w14:textId="13F99343" w:rsidR="00A10BA7" w:rsidRDefault="006E1DF1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 w:rsidRPr="0074767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Vrlo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korisno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znamo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šta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nam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činiti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narednom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periodu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...“</w:t>
      </w:r>
    </w:p>
    <w:p w14:paraId="6451E243" w14:textId="724E1CB2" w:rsidR="00B40EC2" w:rsidRDefault="00B40EC2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„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dalje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smatramo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pored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pojednostavljenog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dokumenta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proces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srednjoročnog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planiranja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jako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komplikovan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ima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prostora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rješavanje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nejasnoća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...“</w:t>
      </w:r>
    </w:p>
    <w:p w14:paraId="3462188E" w14:textId="31A4219D" w:rsidR="00B40EC2" w:rsidRDefault="00B97601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bez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pomoći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iz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SSPKPEI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-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ja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kao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koordinatora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proces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bi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bio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dosta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zahtjevniji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</w:t>
      </w:r>
      <w:r w:rsidR="00B40EC2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3254CEDC" w14:textId="30314986" w:rsidR="00596AD0" w:rsidRDefault="00596AD0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neophodno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ojačati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komunikaciju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osvijestiti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viziju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institucije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..“</w:t>
      </w:r>
    </w:p>
    <w:p w14:paraId="7A90AE80" w14:textId="2D2C8BB9" w:rsidR="00596AD0" w:rsidRDefault="00596AD0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„..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mnogome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pomaže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izrađena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Instrukcija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..“</w:t>
      </w:r>
    </w:p>
    <w:p w14:paraId="1B8369E0" w14:textId="281465EF" w:rsidR="00596AD0" w:rsidRDefault="00596AD0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strateški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usmjerava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zaposlene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zajedničkom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cilju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..“</w:t>
      </w:r>
    </w:p>
    <w:p w14:paraId="1B817624" w14:textId="15094CED" w:rsidR="00596AD0" w:rsidRDefault="00596AD0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strateški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jasan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vremenski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okvir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...“</w:t>
      </w:r>
    </w:p>
    <w:p w14:paraId="509E0CA8" w14:textId="3B3C08ED" w:rsidR="00596AD0" w:rsidRDefault="00596AD0" w:rsidP="00F54721">
      <w:pPr>
        <w:pStyle w:val="ListParagraph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„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strateški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neprimjenjiv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određeni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djelokrug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rada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MP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BiH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određene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aktivnosti</w:t>
      </w:r>
      <w:r w:rsidR="00EB2827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ostaju</w:t>
      </w:r>
      <w:r w:rsidR="00EB2827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ispod</w:t>
      </w:r>
      <w:r w:rsidR="00EB2827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margine</w:t>
      </w:r>
      <w:r w:rsidR="00EB2827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“</w:t>
      </w:r>
    </w:p>
    <w:p w14:paraId="5A58711B" w14:textId="743949C3" w:rsidR="00596AD0" w:rsidRPr="00596AD0" w:rsidRDefault="00E95EE5" w:rsidP="00596AD0">
      <w:pPr>
        <w:spacing w:after="120" w:line="240" w:lineRule="auto"/>
        <w:jc w:val="both"/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dalje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vrlo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aktuelno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kod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ispitanika</w:t>
      </w:r>
      <w:r w:rsidR="00EB2827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,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smatra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potrebno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pronaći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pravu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mjeru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planiranju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da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plan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rada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institucije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treba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biti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češća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tema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zaposlenih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kako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nivou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unutar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pojedinačnih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organizacionih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jedinica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tako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i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nivou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kolegija</w:t>
      </w:r>
      <w:r w:rsidR="00596AD0">
        <w:rPr>
          <w:rFonts w:ascii="Times New Roman" w:eastAsia="PMingLiU" w:hAnsi="Times New Roman" w:cs="Times New Roman"/>
          <w:iCs/>
          <w:sz w:val="24"/>
          <w:szCs w:val="24"/>
          <w:lang w:eastAsia="zh-TW" w:bidi="as-IN"/>
        </w:rPr>
        <w:t>.</w:t>
      </w:r>
    </w:p>
    <w:p w14:paraId="0A60010A" w14:textId="77777777" w:rsidR="00C735C3" w:rsidRDefault="00C735C3">
      <w:pPr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  <w:sectPr w:rsidR="00C735C3" w:rsidSect="009F5F1F">
          <w:footerReference w:type="default" r:id="rId9"/>
          <w:footerReference w:type="first" r:id="rId10"/>
          <w:pgSz w:w="11906" w:h="16838" w:code="9"/>
          <w:pgMar w:top="1418" w:right="1418" w:bottom="1135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PMingLiU" w:hAnsi="Times New Roman" w:cs="Times New Roman"/>
          <w:i/>
          <w:iCs/>
          <w:sz w:val="24"/>
          <w:szCs w:val="24"/>
          <w:lang w:eastAsia="zh-TW" w:bidi="as-IN"/>
        </w:rPr>
        <w:br w:type="page"/>
      </w:r>
    </w:p>
    <w:p w14:paraId="0B95E87C" w14:textId="771FEDFC" w:rsidR="009F5F1F" w:rsidRDefault="00E95EE5" w:rsidP="00ED649A">
      <w:pPr>
        <w:pStyle w:val="Heading1"/>
        <w:numPr>
          <w:ilvl w:val="0"/>
          <w:numId w:val="22"/>
        </w:numPr>
        <w:spacing w:before="0" w:after="80" w:line="240" w:lineRule="auto"/>
        <w:ind w:left="499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5" w:name="_Toc107823457"/>
      <w:bookmarkStart w:id="6" w:name="_Toc112075070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POSTIGNUTI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REZULTATI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I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DIJAGRAM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LOGIČKE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MAPE</w:t>
      </w:r>
      <w:r w:rsidR="005F0103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SPR</w:t>
      </w:r>
      <w:r w:rsidR="009F5F1F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MP</w:t>
      </w:r>
      <w:r w:rsidR="009F5F1F" w:rsidRPr="007476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BiH</w:t>
      </w:r>
      <w:bookmarkEnd w:id="5"/>
      <w:bookmarkEnd w:id="6"/>
    </w:p>
    <w:p w14:paraId="11049805" w14:textId="3AAF064B" w:rsidR="00BC4603" w:rsidRDefault="00E95EE5" w:rsidP="00ED649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Tabela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Postignuti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rezultati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i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dijagram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logičke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mape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SPR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MP</w:t>
      </w:r>
      <w:r w:rsidR="000F760C" w:rsidRPr="000F760C">
        <w:rPr>
          <w:rFonts w:ascii="Times New Roman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TW" w:bidi="as-IN"/>
        </w:rPr>
        <w:t>BiH</w:t>
      </w:r>
    </w:p>
    <w:tbl>
      <w:tblPr>
        <w:tblStyle w:val="TableGrid1"/>
        <w:tblpPr w:leftFromText="180" w:rightFromText="180" w:vertAnchor="text" w:tblpX="-43" w:tblpY="1"/>
        <w:tblOverlap w:val="never"/>
        <w:tblW w:w="5317" w:type="pct"/>
        <w:tblLook w:val="04A0" w:firstRow="1" w:lastRow="0" w:firstColumn="1" w:lastColumn="0" w:noHBand="0" w:noVBand="1"/>
      </w:tblPr>
      <w:tblGrid>
        <w:gridCol w:w="3690"/>
        <w:gridCol w:w="1978"/>
        <w:gridCol w:w="1275"/>
        <w:gridCol w:w="1843"/>
        <w:gridCol w:w="1983"/>
        <w:gridCol w:w="1843"/>
        <w:gridCol w:w="2569"/>
      </w:tblGrid>
      <w:tr w:rsidR="0005628F" w:rsidRPr="00AF3667" w14:paraId="61CC4EC9" w14:textId="77777777" w:rsidTr="00AF3667">
        <w:tc>
          <w:tcPr>
            <w:tcW w:w="1215" w:type="pct"/>
            <w:shd w:val="clear" w:color="auto" w:fill="44546A" w:themeFill="text2"/>
            <w:vAlign w:val="center"/>
          </w:tcPr>
          <w:p w14:paraId="6C6E1291" w14:textId="2206A27C" w:rsidR="00F73A7D" w:rsidRPr="00AF3667" w:rsidRDefault="00E95EE5" w:rsidP="00F73A7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Javna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uprava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saradnja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civilnim</w:t>
            </w:r>
            <w:r w:rsidR="00F73A7D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društvom</w:t>
            </w:r>
            <w:r w:rsidR="00F73A7D" w:rsidRPr="00AF3667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"/>
            </w:r>
          </w:p>
        </w:tc>
        <w:tc>
          <w:tcPr>
            <w:tcW w:w="651" w:type="pct"/>
            <w:shd w:val="clear" w:color="auto" w:fill="44546A" w:themeFill="text2"/>
            <w:vAlign w:val="center"/>
          </w:tcPr>
          <w:p w14:paraId="55CB36DE" w14:textId="63113F7F" w:rsidR="009F5F1F" w:rsidRPr="00AF3667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420" w:type="pct"/>
            <w:shd w:val="clear" w:color="auto" w:fill="44546A" w:themeFill="text2"/>
            <w:vAlign w:val="center"/>
          </w:tcPr>
          <w:p w14:paraId="7004B597" w14:textId="34BA5CDB" w:rsidR="009F5F1F" w:rsidRPr="00AF3667" w:rsidRDefault="00E95EE5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7FB764FA" w14:textId="6D80AE9C" w:rsidR="009F5F1F" w:rsidRPr="00AF3667" w:rsidRDefault="00E95EE5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21D72853" w14:textId="3BA9BDE6" w:rsidR="009F5F1F" w:rsidRPr="00AF3667" w:rsidRDefault="00E95EE5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</w:t>
            </w:r>
            <w:r w:rsidR="009F5F1F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41267F34" w14:textId="0018EC1B" w:rsidR="00D54E99" w:rsidRPr="00AF3667" w:rsidRDefault="00D54E99" w:rsidP="00D54E99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2018.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53" w:type="pct"/>
            <w:shd w:val="clear" w:color="auto" w:fill="44546A" w:themeFill="text2"/>
            <w:vAlign w:val="center"/>
          </w:tcPr>
          <w:p w14:paraId="7CEAC973" w14:textId="7A48F1B5" w:rsidR="009F5F1F" w:rsidRPr="00AF3667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</w:t>
            </w:r>
            <w:r w:rsidR="00F73A7D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9</w:t>
            </w:r>
            <w:r w:rsidR="005F0103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D54E99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563F3FA1" w14:textId="184393C1" w:rsidR="009F5F1F" w:rsidRPr="00AF3667" w:rsidRDefault="00562998" w:rsidP="00D54E99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F73A7D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5F0103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D54E99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  <w:r w:rsidR="00596AD0" w:rsidRPr="00AF3667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footnoteReference w:id="2"/>
            </w:r>
          </w:p>
        </w:tc>
        <w:tc>
          <w:tcPr>
            <w:tcW w:w="846" w:type="pct"/>
            <w:shd w:val="clear" w:color="auto" w:fill="44546A" w:themeFill="text2"/>
            <w:vAlign w:val="center"/>
          </w:tcPr>
          <w:p w14:paraId="5378F142" w14:textId="481216C1" w:rsidR="009F5F1F" w:rsidRPr="00AF3667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F73A7D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21</w:t>
            </w:r>
            <w:r w:rsidR="005F0103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D54E99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</w:tr>
      <w:tr w:rsidR="0005628F" w:rsidRPr="00AF3667" w14:paraId="731C1DD0" w14:textId="77777777" w:rsidTr="00ED649A">
        <w:trPr>
          <w:trHeight w:val="933"/>
        </w:trPr>
        <w:tc>
          <w:tcPr>
            <w:tcW w:w="1215" w:type="pct"/>
            <w:shd w:val="clear" w:color="auto" w:fill="FFF2CC" w:themeFill="accent4" w:themeFillTint="33"/>
            <w:vAlign w:val="center"/>
          </w:tcPr>
          <w:p w14:paraId="75F75EBE" w14:textId="161F934B" w:rsidR="00F54721" w:rsidRPr="00AF3667" w:rsidRDefault="00F54721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Stvaranje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pretpostavki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aktivniji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angažman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civilnog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društva</w:t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2DFA842E" w14:textId="5C9B1C91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Okvir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rada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civilnim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društvom</w:t>
            </w:r>
            <w:r w:rsidR="00DB34D2"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3"/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7EAD9493" w14:textId="0ABC4B33" w:rsidR="00F54721" w:rsidRPr="00AF3667" w:rsidRDefault="00E95EE5" w:rsidP="00F54721">
            <w:pPr>
              <w:ind w:right="106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429D09F" w14:textId="379308D0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Prednacrt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saradnji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izvještaj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356277" w14:textId="2A53D88A" w:rsidR="00F54721" w:rsidRPr="00ED649A" w:rsidRDefault="00E95EE5" w:rsidP="00ED649A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Prednacrt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sprovodi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saradnji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Izvještaj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Odluka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Savjetodavnom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organu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0C4A26B" w14:textId="21C61DE3" w:rsidR="006E7631" w:rsidRPr="00AF3667" w:rsidRDefault="00E95EE5" w:rsidP="006E763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Prednacrt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sprovodi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saradnji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,</w:t>
            </w:r>
          </w:p>
          <w:p w14:paraId="220F4EFE" w14:textId="38FC190C" w:rsidR="00F54721" w:rsidRPr="00ED649A" w:rsidRDefault="00E95EE5" w:rsidP="00ED649A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izvještaj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Odluka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savjetodvnom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organu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0561EFF" w14:textId="566E6208" w:rsidR="00DB34D2" w:rsidRPr="00AF3667" w:rsidRDefault="00E95EE5" w:rsidP="00DB34D2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Analiza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okruženja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rad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izradi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prednacrta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</w:p>
          <w:p w14:paraId="07F278F9" w14:textId="2BA40405" w:rsidR="00DB34D2" w:rsidRPr="00AF3667" w:rsidRDefault="00E95EE5" w:rsidP="00DB34D2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sprovodi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</w:p>
          <w:p w14:paraId="34711748" w14:textId="47181F47" w:rsidR="00DB34D2" w:rsidRPr="00AF3667" w:rsidRDefault="00E95EE5" w:rsidP="00DB34D2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Sporazum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AF366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saradnji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</w:p>
          <w:p w14:paraId="47823CAA" w14:textId="41651081" w:rsidR="00DB34D2" w:rsidRPr="00AF3667" w:rsidRDefault="00E95EE5" w:rsidP="00DB34D2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Odobren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izvještaj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ministra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usvojen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VM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BiH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, </w:t>
            </w:r>
          </w:p>
          <w:p w14:paraId="377087F2" w14:textId="014271B9" w:rsidR="00F54721" w:rsidRPr="00ED649A" w:rsidRDefault="00E95EE5" w:rsidP="00ED649A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Odluka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savjetodavnom</w:t>
            </w:r>
            <w:r w:rsidR="00DB34D2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organu</w:t>
            </w:r>
          </w:p>
        </w:tc>
      </w:tr>
      <w:tr w:rsidR="0005628F" w:rsidRPr="00AF3667" w14:paraId="3A412F52" w14:textId="77777777" w:rsidTr="00AF3667">
        <w:tc>
          <w:tcPr>
            <w:tcW w:w="1215" w:type="pct"/>
            <w:vMerge w:val="restart"/>
            <w:shd w:val="clear" w:color="auto" w:fill="FFF2CC" w:themeFill="accent4" w:themeFillTint="33"/>
            <w:vAlign w:val="center"/>
          </w:tcPr>
          <w:p w14:paraId="18B098AB" w14:textId="7E3EBCFC" w:rsidR="00F73A7D" w:rsidRPr="00AF3667" w:rsidRDefault="00F73A7D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14.2.1.2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zakonodavnog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kapaciteta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vođenja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upravnog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postupka</w:t>
            </w:r>
            <w:r w:rsidR="003440AC" w:rsidRPr="00AF366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4"/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49DDA55F" w14:textId="558EA3D3" w:rsidR="00F73A7D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Nacrti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zakona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prijedlozi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drugih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propisa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VM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571E11C4" w14:textId="1CE1CCDB" w:rsidR="00F73A7D" w:rsidRPr="00AF3667" w:rsidRDefault="00E95EE5" w:rsidP="00F54721">
            <w:pPr>
              <w:ind w:right="106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79C6764" w14:textId="77777777" w:rsidR="00F73A7D" w:rsidRPr="00AF3667" w:rsidRDefault="00F73A7D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7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6374358" w14:textId="77777777" w:rsidR="00F73A7D" w:rsidRPr="00AF3667" w:rsidRDefault="004968B8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11F3C8C" w14:textId="10C31CDC" w:rsidR="00F73A7D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9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6627576" w14:textId="77777777" w:rsidR="00F73A7D" w:rsidRPr="00AF3667" w:rsidRDefault="00DB34D2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9</w:t>
            </w:r>
          </w:p>
        </w:tc>
      </w:tr>
      <w:tr w:rsidR="0005628F" w:rsidRPr="00AF3667" w14:paraId="4D49E2B0" w14:textId="77777777" w:rsidTr="00AF3667">
        <w:tc>
          <w:tcPr>
            <w:tcW w:w="1215" w:type="pct"/>
            <w:vMerge/>
            <w:shd w:val="clear" w:color="auto" w:fill="FFF2CC" w:themeFill="accent4" w:themeFillTint="33"/>
            <w:vAlign w:val="center"/>
          </w:tcPr>
          <w:p w14:paraId="71C13594" w14:textId="77777777" w:rsidR="00F73A7D" w:rsidRPr="00AF3667" w:rsidRDefault="00F73A7D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1C3151F9" w14:textId="2BAB8AEF" w:rsidR="00F73A7D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riješenih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predmeta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odnosu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F73A7D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zaprmiljene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2B2283D1" w14:textId="77777777" w:rsidR="00F73A7D" w:rsidRPr="00AF3667" w:rsidRDefault="00F73A7D" w:rsidP="00F54721">
            <w:pPr>
              <w:ind w:righ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627B1E7" w14:textId="77777777" w:rsidR="00F73A7D" w:rsidRPr="00AF3667" w:rsidRDefault="00F73A7D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1BE0E7FA" w14:textId="77777777" w:rsidR="00F73A7D" w:rsidRPr="00AF3667" w:rsidRDefault="00F73A7D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E301B5E" w14:textId="77777777" w:rsidR="00F73A7D" w:rsidRPr="00AF3667" w:rsidRDefault="00F73A7D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696ABCF" w14:textId="77777777" w:rsidR="00F73A7D" w:rsidRPr="00AF3667" w:rsidRDefault="00F73A7D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5628F" w:rsidRPr="00AF3667" w14:paraId="42F25482" w14:textId="77777777" w:rsidTr="00AF3667">
        <w:tc>
          <w:tcPr>
            <w:tcW w:w="1215" w:type="pct"/>
            <w:vMerge w:val="restart"/>
            <w:shd w:val="clear" w:color="auto" w:fill="FFF2CC" w:themeFill="accent4" w:themeFillTint="33"/>
            <w:vAlign w:val="center"/>
          </w:tcPr>
          <w:p w14:paraId="268A6683" w14:textId="672930E4" w:rsidR="006E7631" w:rsidRPr="00AF3667" w:rsidRDefault="006E7631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14.2.1.3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Efikasno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inspekcijskog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nadzora</w:t>
            </w:r>
            <w:r w:rsidRPr="00AF366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5"/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268B6AA3" w14:textId="263D7237" w:rsidR="006E763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Povećanje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kapaciteta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UI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kroz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izmjenu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Pravilnika</w:t>
            </w:r>
            <w:r w:rsidR="006E7631"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6"/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4D86A7C9" w14:textId="75F3E5CF" w:rsidR="006E7631" w:rsidRPr="00AF3667" w:rsidRDefault="00E95EE5" w:rsidP="00BC460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1DFA92E" w14:textId="77777777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5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C6A176A" w14:textId="77777777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4D10FED8" w14:textId="5F00A98C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46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00D8D4C" w14:textId="29EB29FB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46</w:t>
            </w:r>
          </w:p>
        </w:tc>
      </w:tr>
      <w:tr w:rsidR="0005628F" w:rsidRPr="00AF3667" w14:paraId="0959F219" w14:textId="77777777" w:rsidTr="00AF3667">
        <w:tc>
          <w:tcPr>
            <w:tcW w:w="1215" w:type="pct"/>
            <w:vMerge/>
            <w:shd w:val="clear" w:color="auto" w:fill="FFF2CC" w:themeFill="accent4" w:themeFillTint="33"/>
            <w:vAlign w:val="center"/>
          </w:tcPr>
          <w:p w14:paraId="65A0C608" w14:textId="77777777" w:rsidR="006E7631" w:rsidRPr="00AF3667" w:rsidRDefault="006E7631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63DA13B2" w14:textId="51AC52B2" w:rsidR="006E763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Prijedlozi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drugih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propisa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6"/>
                <w:szCs w:val="16"/>
              </w:rPr>
              <w:t>VM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403277FE" w14:textId="0A5CFD04" w:rsidR="006E7631" w:rsidRPr="00AF3667" w:rsidRDefault="00E95EE5" w:rsidP="00F54721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B322D6D" w14:textId="77777777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F05ACD9" w14:textId="77777777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7C50396" w14:textId="5A184DE7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7"/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C27439E" w14:textId="51DB33D5" w:rsidR="006E7631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628F" w:rsidRPr="00AF3667" w14:paraId="0171ECB8" w14:textId="77777777" w:rsidTr="00AF3667">
        <w:tc>
          <w:tcPr>
            <w:tcW w:w="1215" w:type="pct"/>
            <w:vMerge w:val="restart"/>
            <w:shd w:val="clear" w:color="auto" w:fill="FFF2CC" w:themeFill="accent4" w:themeFillTint="33"/>
            <w:vAlign w:val="center"/>
          </w:tcPr>
          <w:p w14:paraId="5AA9598F" w14:textId="04CD7D96" w:rsidR="00BC4603" w:rsidRPr="00AF3667" w:rsidRDefault="00BC4603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14.2.1.4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strateškog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reforme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javne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poslova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EU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integracija</w:t>
            </w:r>
            <w:r w:rsidR="003440AC" w:rsidRPr="00AF366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8"/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2DDDB0CC" w14:textId="368FBB6A" w:rsidR="00BC4603" w:rsidRPr="00AF3667" w:rsidRDefault="00E95EE5" w:rsidP="00F54721">
            <w:pPr>
              <w:ind w:left="1" w:right="45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Prijedlozi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drugih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porpisa</w:t>
            </w:r>
            <w:r w:rsidR="00DB34D2"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9"/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2CD44087" w14:textId="33C56814" w:rsidR="00BC4603" w:rsidRPr="00AF3667" w:rsidRDefault="00E95EE5" w:rsidP="00F54721">
            <w:pPr>
              <w:ind w:right="109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Broj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5BC3A48" w14:textId="642AE072" w:rsidR="00BC4603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114C1B0" w14:textId="23D13D7D" w:rsidR="00BC4603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6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4573523" w14:textId="0C110404" w:rsidR="00BC4603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  <w:r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10"/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709E3C08" w14:textId="34651109" w:rsidR="00BC4603" w:rsidRPr="00AF3667" w:rsidRDefault="006E7631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-</w:t>
            </w:r>
          </w:p>
        </w:tc>
      </w:tr>
      <w:tr w:rsidR="0005628F" w:rsidRPr="00AF3667" w14:paraId="0FCAD5F4" w14:textId="77777777" w:rsidTr="00AF3667">
        <w:tc>
          <w:tcPr>
            <w:tcW w:w="1215" w:type="pct"/>
            <w:vMerge/>
            <w:shd w:val="clear" w:color="auto" w:fill="FFF2CC" w:themeFill="accent4" w:themeFillTint="33"/>
            <w:vAlign w:val="center"/>
          </w:tcPr>
          <w:p w14:paraId="0A92F6A2" w14:textId="77777777" w:rsidR="00BC4603" w:rsidRPr="00AF3667" w:rsidRDefault="00BC4603" w:rsidP="00F73A7D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430C69A3" w14:textId="579B8DC8" w:rsidR="00BC4603" w:rsidRPr="00AF3667" w:rsidRDefault="00E95EE5" w:rsidP="00F54721">
            <w:pPr>
              <w:ind w:left="1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Funkcija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EU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integracija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provodi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4E3D6DD0" w14:textId="5FBFE2BC" w:rsidR="00BC4603" w:rsidRPr="00AF3667" w:rsidRDefault="00E95EE5" w:rsidP="00EB08BF">
            <w:pPr>
              <w:ind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Indeks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5AAB3C2" w14:textId="77777777" w:rsidR="00BC4603" w:rsidRPr="00AF3667" w:rsidRDefault="00BC4603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0BEE23C" w14:textId="77777777" w:rsidR="00BC4603" w:rsidRPr="00AF3667" w:rsidRDefault="004968B8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5F9D995" w14:textId="77777777" w:rsidR="00BC4603" w:rsidRPr="00AF3667" w:rsidRDefault="005070A7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D1D1566" w14:textId="0353D71E" w:rsidR="00BC4603" w:rsidRPr="00AF3667" w:rsidRDefault="00696FAF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5628F" w:rsidRPr="00AF3667" w14:paraId="47B70A89" w14:textId="77777777" w:rsidTr="00AF3667">
        <w:tc>
          <w:tcPr>
            <w:tcW w:w="1215" w:type="pct"/>
            <w:vMerge/>
            <w:shd w:val="clear" w:color="auto" w:fill="FFF2CC" w:themeFill="accent4" w:themeFillTint="33"/>
            <w:vAlign w:val="center"/>
          </w:tcPr>
          <w:p w14:paraId="737EBAB1" w14:textId="77777777" w:rsidR="00BC4603" w:rsidRPr="00AF3667" w:rsidRDefault="00BC4603" w:rsidP="00F73A7D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5FCD1C53" w14:textId="39E4E7C9" w:rsidR="00BC4603" w:rsidRPr="00AF3667" w:rsidRDefault="00E95EE5" w:rsidP="00F54721">
            <w:pPr>
              <w:ind w:left="1" w:righ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Napredak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BiH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praćen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kroz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EU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izvještaje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BiH</w:t>
            </w:r>
            <w:r w:rsidR="00DB34D2"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1"/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5AC47817" w14:textId="09F75B7F" w:rsidR="00BC4603" w:rsidRPr="00AF3667" w:rsidRDefault="00E95EE5" w:rsidP="00F54721">
            <w:pPr>
              <w:ind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Opisno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E3FDF53" w14:textId="48B889D2" w:rsidR="00BC4603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početku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3674C3E" w14:textId="1E84FA74" w:rsidR="00BC4603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početku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1CE4BF3E" w14:textId="14A63006" w:rsidR="00BC4603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6E7631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početku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0E896366" w14:textId="2B50C85C" w:rsidR="00BC4603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696FA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početku</w:t>
            </w:r>
          </w:p>
        </w:tc>
      </w:tr>
    </w:tbl>
    <w:p w14:paraId="065F8D01" w14:textId="3CC89866" w:rsidR="00AF3667" w:rsidRDefault="00AF3667">
      <w:r>
        <w:br w:type="page"/>
      </w:r>
    </w:p>
    <w:tbl>
      <w:tblPr>
        <w:tblStyle w:val="TableGrid1"/>
        <w:tblpPr w:leftFromText="180" w:rightFromText="180" w:vertAnchor="text" w:tblpX="-43" w:tblpY="1"/>
        <w:tblOverlap w:val="never"/>
        <w:tblW w:w="5317" w:type="pct"/>
        <w:tblLook w:val="04A0" w:firstRow="1" w:lastRow="0" w:firstColumn="1" w:lastColumn="0" w:noHBand="0" w:noVBand="1"/>
      </w:tblPr>
      <w:tblGrid>
        <w:gridCol w:w="3690"/>
        <w:gridCol w:w="1978"/>
        <w:gridCol w:w="1275"/>
        <w:gridCol w:w="1843"/>
        <w:gridCol w:w="1983"/>
        <w:gridCol w:w="1843"/>
        <w:gridCol w:w="2569"/>
      </w:tblGrid>
      <w:tr w:rsidR="00AF3667" w:rsidRPr="00AF3667" w14:paraId="11545E2C" w14:textId="77777777" w:rsidTr="00AF3667">
        <w:tc>
          <w:tcPr>
            <w:tcW w:w="1215" w:type="pct"/>
            <w:shd w:val="clear" w:color="auto" w:fill="44546A" w:themeFill="text2"/>
            <w:vAlign w:val="center"/>
          </w:tcPr>
          <w:p w14:paraId="4300A24E" w14:textId="280EF2E3" w:rsidR="00AF3667" w:rsidRPr="00AF3667" w:rsidRDefault="00E95EE5" w:rsidP="00D3051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Javna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uprava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saradnja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civilnim</w:t>
            </w:r>
            <w:r w:rsidR="00AF3667" w:rsidRPr="00AF366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društvom</w:t>
            </w:r>
            <w:r w:rsidR="00AF3667" w:rsidRPr="00AF3667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2"/>
            </w:r>
          </w:p>
        </w:tc>
        <w:tc>
          <w:tcPr>
            <w:tcW w:w="651" w:type="pct"/>
            <w:shd w:val="clear" w:color="auto" w:fill="44546A" w:themeFill="text2"/>
            <w:vAlign w:val="center"/>
          </w:tcPr>
          <w:p w14:paraId="0A5F6993" w14:textId="04C240CA" w:rsidR="00AF3667" w:rsidRPr="00AF3667" w:rsidRDefault="00E95EE5" w:rsidP="00D30514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420" w:type="pct"/>
            <w:shd w:val="clear" w:color="auto" w:fill="44546A" w:themeFill="text2"/>
            <w:vAlign w:val="center"/>
          </w:tcPr>
          <w:p w14:paraId="0961DAB6" w14:textId="0A311DBE" w:rsidR="00AF3667" w:rsidRPr="00AF3667" w:rsidRDefault="00E95EE5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0A103556" w14:textId="38555E01" w:rsidR="00AF3667" w:rsidRPr="00AF3667" w:rsidRDefault="00E95EE5" w:rsidP="00D30514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2ADAE714" w14:textId="4172152E" w:rsidR="00AF3667" w:rsidRPr="00AF3667" w:rsidRDefault="00E95EE5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</w:t>
            </w:r>
            <w:r w:rsidR="00AF3667"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2ADFC501" w14:textId="022150A3" w:rsidR="00AF3667" w:rsidRPr="00AF3667" w:rsidRDefault="00AF3667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2018.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53" w:type="pct"/>
            <w:shd w:val="clear" w:color="auto" w:fill="44546A" w:themeFill="text2"/>
            <w:vAlign w:val="center"/>
          </w:tcPr>
          <w:p w14:paraId="65958FED" w14:textId="700317CE" w:rsidR="00AF3667" w:rsidRPr="00AF3667" w:rsidRDefault="00AF3667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2019.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07" w:type="pct"/>
            <w:shd w:val="clear" w:color="auto" w:fill="44546A" w:themeFill="text2"/>
            <w:vAlign w:val="center"/>
          </w:tcPr>
          <w:p w14:paraId="35BF6BC3" w14:textId="616C18C6" w:rsidR="00AF3667" w:rsidRPr="00AF3667" w:rsidRDefault="00AF3667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2020.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  <w:r w:rsidRPr="00AF3667">
              <w:rPr>
                <w:rStyle w:val="FootnoteReference"/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footnoteReference w:id="13"/>
            </w:r>
          </w:p>
        </w:tc>
        <w:tc>
          <w:tcPr>
            <w:tcW w:w="846" w:type="pct"/>
            <w:shd w:val="clear" w:color="auto" w:fill="44546A" w:themeFill="text2"/>
            <w:vAlign w:val="center"/>
          </w:tcPr>
          <w:p w14:paraId="0B95EA90" w14:textId="7F05484F" w:rsidR="00AF3667" w:rsidRPr="00AF3667" w:rsidRDefault="00AF3667" w:rsidP="00D30514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2021.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</w:tr>
      <w:tr w:rsidR="0005628F" w:rsidRPr="00AF3667" w14:paraId="3F4440E4" w14:textId="77777777" w:rsidTr="00AF3667">
        <w:tc>
          <w:tcPr>
            <w:tcW w:w="1215" w:type="pct"/>
            <w:shd w:val="clear" w:color="auto" w:fill="FFF2CC" w:themeFill="accent4" w:themeFillTint="33"/>
            <w:vAlign w:val="center"/>
          </w:tcPr>
          <w:p w14:paraId="541BF260" w14:textId="7CBAF3FA" w:rsidR="00F54721" w:rsidRPr="00AF3667" w:rsidRDefault="00F54721" w:rsidP="00F73A7D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14.2.1.5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donatorske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sektoru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4F2E2717" w14:textId="18FBB972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Plan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donatorske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pomoći</w:t>
            </w:r>
            <w:r w:rsidR="00C662EE" w:rsidRPr="00AF3667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bs-Latn-BA"/>
              </w:rPr>
              <w:footnoteReference w:id="14"/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389E6B82" w14:textId="0A8D7440" w:rsidR="00F54721" w:rsidRPr="00AF3667" w:rsidRDefault="00E95EE5" w:rsidP="00F54721">
            <w:pPr>
              <w:ind w:right="109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Opisno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08F1F03" w14:textId="4AD3DCE7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Prioriteti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su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djelimično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usklađeni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uključeni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planski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dokument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unutar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sektorske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7DA5862F" w14:textId="64070A97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Prioriteti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su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djelimično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usklađeni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uključeni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planski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dokument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unutar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sektorske</w:t>
            </w:r>
            <w:r w:rsidR="004968B8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5219BFF2" w14:textId="66007BA1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Prioriteti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su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djelimično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usklađeni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uključeni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planski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dokument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unutar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sektorske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0E57EF4" w14:textId="78AD1AEC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Prioriteti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su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djelimično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usklađeni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uključeni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planski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dokument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unutar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sektorske</w:t>
            </w:r>
            <w:r w:rsidR="005070A7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strategije</w:t>
            </w:r>
          </w:p>
        </w:tc>
      </w:tr>
      <w:tr w:rsidR="0005628F" w:rsidRPr="00AF3667" w14:paraId="58109F81" w14:textId="77777777" w:rsidTr="00AF3667">
        <w:trPr>
          <w:trHeight w:val="453"/>
        </w:trPr>
        <w:tc>
          <w:tcPr>
            <w:tcW w:w="1215" w:type="pct"/>
            <w:shd w:val="clear" w:color="auto" w:fill="FFF2CC" w:themeFill="accent4" w:themeFillTint="33"/>
            <w:vAlign w:val="center"/>
          </w:tcPr>
          <w:p w14:paraId="387A3409" w14:textId="3B6ABBDC" w:rsidR="00F54721" w:rsidRPr="00AF3667" w:rsidRDefault="004968B8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14.2.1.6</w:t>
            </w:r>
            <w:r w:rsidR="00F54721"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="00F54721"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upravljanja</w:t>
            </w:r>
            <w:r w:rsidR="00F54721"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registracijom</w:t>
            </w:r>
            <w:r w:rsidR="00F54721"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zaloga</w:t>
            </w:r>
            <w:r w:rsidR="00C662EE" w:rsidRPr="00AF366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5"/>
            </w:r>
          </w:p>
        </w:tc>
        <w:tc>
          <w:tcPr>
            <w:tcW w:w="651" w:type="pct"/>
            <w:shd w:val="clear" w:color="auto" w:fill="FFF2CC" w:themeFill="accent4" w:themeFillTint="33"/>
            <w:vAlign w:val="center"/>
          </w:tcPr>
          <w:p w14:paraId="432B0281" w14:textId="483386C1" w:rsidR="00F54721" w:rsidRPr="00AF3667" w:rsidRDefault="00E95EE5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Postotak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ažurnosti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registra</w:t>
            </w:r>
            <w:r w:rsidR="00BC4603"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zaloga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640BE268" w14:textId="77777777" w:rsidR="00F54721" w:rsidRPr="00AF3667" w:rsidRDefault="00BC4603" w:rsidP="00F54721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%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6F99DED" w14:textId="77777777" w:rsidR="00F54721" w:rsidRPr="00AF3667" w:rsidRDefault="00BC4603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212C6763" w14:textId="77777777" w:rsidR="00F54721" w:rsidRPr="00AF3667" w:rsidRDefault="00BC4603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3F871615" w14:textId="77777777" w:rsidR="00F54721" w:rsidRPr="00AF3667" w:rsidRDefault="00BC4603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670AA8" w14:textId="77777777" w:rsidR="00F54721" w:rsidRPr="00AF3667" w:rsidRDefault="00BC4603" w:rsidP="00F54721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100</w:t>
            </w:r>
          </w:p>
        </w:tc>
      </w:tr>
      <w:tr w:rsidR="0005628F" w:rsidRPr="00AF3667" w14:paraId="2E61B5D8" w14:textId="77777777" w:rsidTr="00AF3667">
        <w:tc>
          <w:tcPr>
            <w:tcW w:w="1215" w:type="pct"/>
            <w:shd w:val="clear" w:color="auto" w:fill="FFF2CC" w:themeFill="accent4" w:themeFillTint="33"/>
            <w:vAlign w:val="center"/>
          </w:tcPr>
          <w:p w14:paraId="1E49E8EE" w14:textId="34D02BD6" w:rsidR="0005628F" w:rsidRPr="00AF3667" w:rsidRDefault="0005628F" w:rsidP="00AF3667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14.2.1.7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Rekonstrukcija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objekta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nadogradnja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sprata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smještaj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Tužilaštva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9B813" w14:textId="5EE3C631" w:rsidR="0005628F" w:rsidRPr="00AF3667" w:rsidRDefault="00E95EE5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Smještajni</w:t>
            </w:r>
            <w:r w:rsidR="0005628F" w:rsidRPr="00AF36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kapaciteti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1C975A91" w14:textId="6C77CC00" w:rsidR="0005628F" w:rsidRPr="00AF3667" w:rsidRDefault="00E95EE5" w:rsidP="0005628F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Opisno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57A1FD9" w14:textId="4B69986A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924CA5B" w14:textId="15F33E14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4373EF15" w14:textId="561BB8DC" w:rsidR="0005628F" w:rsidRPr="00AF3667" w:rsidRDefault="00E95EE5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Postojeća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zgrada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Tužilaštva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idejni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izvedbeni</w:t>
            </w:r>
            <w:r w:rsidR="0005628F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1A7D34B" w14:textId="14FF3087" w:rsidR="0005628F" w:rsidRPr="00AF3667" w:rsidRDefault="00E95EE5" w:rsidP="00DD47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  <w:r w:rsidR="004F0D21" w:rsidRPr="00AF36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0226">
              <w:rPr>
                <w:rFonts w:ascii="Times New Roman" w:hAnsi="Times New Roman" w:cs="Times New Roman"/>
                <w:sz w:val="16"/>
                <w:szCs w:val="16"/>
              </w:rPr>
              <w:t>realiziran</w:t>
            </w:r>
          </w:p>
        </w:tc>
      </w:tr>
      <w:tr w:rsidR="0005628F" w:rsidRPr="00AF3667" w14:paraId="268283D5" w14:textId="77777777" w:rsidTr="00AF3667">
        <w:tc>
          <w:tcPr>
            <w:tcW w:w="1215" w:type="pct"/>
            <w:shd w:val="clear" w:color="auto" w:fill="FFF2CC" w:themeFill="accent4" w:themeFillTint="33"/>
            <w:vAlign w:val="center"/>
          </w:tcPr>
          <w:p w14:paraId="1D6EF0C8" w14:textId="239E41EF" w:rsidR="0005628F" w:rsidRPr="00AF3667" w:rsidRDefault="0005628F" w:rsidP="00AF3667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14.2.1.8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Administrativna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podrška</w:t>
            </w:r>
            <w:r w:rsidR="004F0D21" w:rsidRPr="00AF366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6"/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17E9D8" w14:textId="7FA1D532" w:rsidR="0005628F" w:rsidRPr="00AF3667" w:rsidRDefault="00E95EE5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Efikasnost</w:t>
            </w:r>
            <w:r w:rsidR="0005628F" w:rsidRPr="00AF36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upravne</w:t>
            </w:r>
            <w:r w:rsidR="0005628F" w:rsidRPr="00AF36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podrške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6472DE5B" w14:textId="24C835EA" w:rsidR="0005628F" w:rsidRPr="00AF3667" w:rsidRDefault="0005628F" w:rsidP="0005628F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25C92F90" w14:textId="0D3F0A23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32326D5F" w14:textId="7FE82A5F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7E96F0C0" w14:textId="77777777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9AA8FB" w14:textId="3B6A7854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F518C5B" w14:textId="49589C99" w:rsidR="0005628F" w:rsidRPr="00AF3667" w:rsidRDefault="00696FA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5628F" w:rsidRPr="00AF3667" w14:paraId="315E7F24" w14:textId="77777777" w:rsidTr="00AF3667">
        <w:tc>
          <w:tcPr>
            <w:tcW w:w="1215" w:type="pct"/>
            <w:shd w:val="clear" w:color="auto" w:fill="FFF2CC" w:themeFill="accent4" w:themeFillTint="33"/>
            <w:vAlign w:val="center"/>
          </w:tcPr>
          <w:p w14:paraId="6F209F82" w14:textId="795B7718" w:rsidR="0005628F" w:rsidRPr="00AF3667" w:rsidRDefault="0005628F" w:rsidP="00AF3667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14.2.1.9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Praćenje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ocjena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adekvatnosti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efikasnosti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finansijsko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kontrole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drugim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institucijama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nadležna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Jedinica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interne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revizije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Pr="00AF366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9427CD" w14:textId="49F0F96F" w:rsidR="0005628F" w:rsidRPr="00AF3667" w:rsidRDefault="00E95EE5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Efikasnost</w:t>
            </w:r>
            <w:r w:rsidR="0005628F" w:rsidRPr="00AF366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revizije</w:t>
            </w:r>
          </w:p>
        </w:tc>
        <w:tc>
          <w:tcPr>
            <w:tcW w:w="420" w:type="pct"/>
            <w:shd w:val="clear" w:color="auto" w:fill="FFF2CC" w:themeFill="accent4" w:themeFillTint="33"/>
            <w:vAlign w:val="center"/>
          </w:tcPr>
          <w:p w14:paraId="3BC7BAC4" w14:textId="6A4C7C95" w:rsidR="0005628F" w:rsidRPr="00AF3667" w:rsidRDefault="0005628F" w:rsidP="0005628F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7854BC21" w14:textId="4A1156D8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5C23067" w14:textId="01324028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5AC4CDEC" w14:textId="77777777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C7C757" w14:textId="34E89C66" w:rsidR="0005628F" w:rsidRPr="00AF3667" w:rsidRDefault="0005628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C375256" w14:textId="7E59A38D" w:rsidR="0005628F" w:rsidRPr="00AF3667" w:rsidRDefault="00696FAF" w:rsidP="0005628F">
            <w:pPr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6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2B17D0AE" w14:textId="77777777" w:rsidR="00C662EE" w:rsidRPr="00C77FF0" w:rsidRDefault="00C662EE" w:rsidP="00C66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1"/>
        <w:tblpPr w:leftFromText="180" w:rightFromText="180" w:vertAnchor="text" w:tblpX="-43" w:tblpY="1"/>
        <w:tblOverlap w:val="never"/>
        <w:tblW w:w="5027" w:type="pct"/>
        <w:tblLook w:val="04A0" w:firstRow="1" w:lastRow="0" w:firstColumn="1" w:lastColumn="0" w:noHBand="0" w:noVBand="1"/>
      </w:tblPr>
      <w:tblGrid>
        <w:gridCol w:w="3755"/>
        <w:gridCol w:w="1880"/>
        <w:gridCol w:w="1358"/>
        <w:gridCol w:w="1404"/>
        <w:gridCol w:w="2156"/>
        <w:gridCol w:w="1880"/>
        <w:gridCol w:w="1920"/>
      </w:tblGrid>
      <w:tr w:rsidR="00C576C8" w:rsidRPr="00C576C8" w14:paraId="3C8EE637" w14:textId="77777777" w:rsidTr="00631C51">
        <w:tc>
          <w:tcPr>
            <w:tcW w:w="1308" w:type="pct"/>
            <w:shd w:val="clear" w:color="auto" w:fill="44546A" w:themeFill="text2"/>
            <w:vAlign w:val="center"/>
          </w:tcPr>
          <w:p w14:paraId="63E3AD20" w14:textId="31F4E39E" w:rsidR="009F5F1F" w:rsidRPr="00C576C8" w:rsidRDefault="009F5F1F" w:rsidP="00E317B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  <w:lastRenderedPageBreak/>
              <w:br w:type="page"/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Projekti</w:t>
            </w:r>
            <w:r w:rsidR="00E317B6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Normativno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-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pravna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djelatnost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,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provođenje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praćenje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propisa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iz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oblasti</w:t>
            </w:r>
            <w:r w:rsidR="00631C51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pravosuđa</w:t>
            </w:r>
            <w:r w:rsidR="00631C51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17"/>
            </w:r>
          </w:p>
        </w:tc>
        <w:tc>
          <w:tcPr>
            <w:tcW w:w="655" w:type="pct"/>
            <w:shd w:val="clear" w:color="auto" w:fill="44546A" w:themeFill="text2"/>
            <w:vAlign w:val="center"/>
          </w:tcPr>
          <w:p w14:paraId="30759BD6" w14:textId="18CADC62" w:rsidR="009F5F1F" w:rsidRPr="00C576C8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473" w:type="pct"/>
            <w:shd w:val="clear" w:color="auto" w:fill="44546A" w:themeFill="text2"/>
            <w:vAlign w:val="center"/>
          </w:tcPr>
          <w:p w14:paraId="2AE83A35" w14:textId="7F13FAD2" w:rsidR="009F5F1F" w:rsidRPr="00C576C8" w:rsidRDefault="00E95EE5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2A0DD873" w14:textId="124CA9D9" w:rsidR="009F5F1F" w:rsidRPr="00C576C8" w:rsidRDefault="00E95EE5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489" w:type="pct"/>
            <w:shd w:val="clear" w:color="auto" w:fill="44546A" w:themeFill="text2"/>
            <w:vAlign w:val="center"/>
          </w:tcPr>
          <w:p w14:paraId="1F90A77B" w14:textId="648FC220" w:rsidR="00AF3667" w:rsidRDefault="00E95EE5" w:rsidP="00AF366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</w:t>
            </w:r>
            <w:r w:rsidR="00AF3667"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4ECC377F" w14:textId="526C3A84" w:rsidR="009F5F1F" w:rsidRPr="00C576C8" w:rsidRDefault="00631C51" w:rsidP="00AF366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751" w:type="pct"/>
            <w:shd w:val="clear" w:color="auto" w:fill="44546A" w:themeFill="text2"/>
            <w:vAlign w:val="center"/>
          </w:tcPr>
          <w:p w14:paraId="0B79E093" w14:textId="30BD2FAC" w:rsidR="009F5F1F" w:rsidRPr="00C576C8" w:rsidRDefault="009F5F1F" w:rsidP="00631C51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</w:t>
            </w:r>
            <w:r w:rsidR="00631C5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9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55" w:type="pct"/>
            <w:shd w:val="clear" w:color="auto" w:fill="44546A" w:themeFill="text2"/>
            <w:vAlign w:val="center"/>
          </w:tcPr>
          <w:p w14:paraId="5DA92E48" w14:textId="314A14ED" w:rsidR="009F5F1F" w:rsidRPr="00C576C8" w:rsidRDefault="009F5F1F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</w:t>
            </w:r>
            <w:r w:rsidR="00631C5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020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69" w:type="pct"/>
            <w:shd w:val="clear" w:color="auto" w:fill="44546A" w:themeFill="text2"/>
            <w:vAlign w:val="center"/>
          </w:tcPr>
          <w:p w14:paraId="3E6179EA" w14:textId="774DBF13" w:rsidR="009F5F1F" w:rsidRPr="00C576C8" w:rsidRDefault="00631C51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2021</w:t>
            </w:r>
            <w:r w:rsidR="00B0282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</w:tr>
      <w:tr w:rsidR="00B02828" w:rsidRPr="00C576C8" w14:paraId="4319192D" w14:textId="77777777" w:rsidTr="00631C51">
        <w:tc>
          <w:tcPr>
            <w:tcW w:w="1308" w:type="pct"/>
            <w:shd w:val="clear" w:color="auto" w:fill="FFF2CC" w:themeFill="accent4" w:themeFillTint="33"/>
            <w:vAlign w:val="center"/>
          </w:tcPr>
          <w:p w14:paraId="5122AE83" w14:textId="1FC03C74" w:rsidR="009F5F1F" w:rsidRPr="00631C51" w:rsidRDefault="00631C51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14.6.1.1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Izrada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upućivanje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proceduru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usvajanja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propisa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iz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oblasti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pravosuđa</w:t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A8DABF6" w14:textId="7FCA878E" w:rsidR="009F5F1F" w:rsidRPr="00C576C8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Nacrti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zakona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prijedlozi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drugih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631C51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VM</w:t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680AC412" w14:textId="2641A080" w:rsidR="009F5F1F" w:rsidRPr="00C576C8" w:rsidRDefault="00E95EE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010E03A" w14:textId="77777777" w:rsidR="009F5F1F" w:rsidRPr="00C576C8" w:rsidRDefault="009B548E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276C3F3" w14:textId="77777777" w:rsidR="009F5F1F" w:rsidRPr="00397BBB" w:rsidRDefault="00A15A40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97BB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3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1480191" w14:textId="16CBB257" w:rsidR="009F5F1F" w:rsidRPr="00C576C8" w:rsidRDefault="0005628F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270F950" w14:textId="77777777" w:rsidR="009F5F1F" w:rsidRPr="00C576C8" w:rsidRDefault="00C662EE" w:rsidP="00B028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7</w:t>
            </w:r>
          </w:p>
        </w:tc>
      </w:tr>
      <w:tr w:rsidR="00631C51" w:rsidRPr="00C576C8" w14:paraId="018422FE" w14:textId="77777777" w:rsidTr="00631C51">
        <w:tc>
          <w:tcPr>
            <w:tcW w:w="1308" w:type="pct"/>
            <w:shd w:val="clear" w:color="auto" w:fill="FFF2CC" w:themeFill="accent4" w:themeFillTint="33"/>
            <w:vAlign w:val="center"/>
          </w:tcPr>
          <w:p w14:paraId="34E7A626" w14:textId="6A5C1B63" w:rsidR="00631C51" w:rsidRPr="00631C51" w:rsidRDefault="00631C51" w:rsidP="00631C5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14.6.1.2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Efikasno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praćenje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983E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provođenja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propisa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strateških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dokumenata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iz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oblasti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pravosuđa</w:t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5DDBF45" w14:textId="3CBB79BA" w:rsidR="00631C51" w:rsidRPr="00C576C8" w:rsidRDefault="00E95EE5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praćenja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strateških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dokumenata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pravosuđa</w:t>
            </w:r>
            <w:r w:rsidR="00C662EE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8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16FF8E24" w14:textId="77777777" w:rsidR="00631C51" w:rsidRPr="00C576C8" w:rsidRDefault="009B548E" w:rsidP="00631C51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4FCA6E9" w14:textId="77777777" w:rsidR="00631C51" w:rsidRPr="00C576C8" w:rsidRDefault="009B548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B9C1C73" w14:textId="77777777" w:rsidR="00631C51" w:rsidRPr="00397BBB" w:rsidRDefault="00A15A40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97BB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EFC3F85" w14:textId="77777777" w:rsidR="00631C51" w:rsidRPr="00C576C8" w:rsidRDefault="005070A7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E1D9FB0" w14:textId="77777777" w:rsidR="00631C51" w:rsidRPr="00C576C8" w:rsidRDefault="00C662E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80</w:t>
            </w:r>
          </w:p>
        </w:tc>
      </w:tr>
      <w:tr w:rsidR="00631C51" w:rsidRPr="00C576C8" w14:paraId="52C31C14" w14:textId="77777777" w:rsidTr="00631C51">
        <w:trPr>
          <w:trHeight w:val="186"/>
        </w:trPr>
        <w:tc>
          <w:tcPr>
            <w:tcW w:w="1308" w:type="pct"/>
            <w:vMerge w:val="restart"/>
            <w:shd w:val="clear" w:color="auto" w:fill="FFF2CC" w:themeFill="accent4" w:themeFillTint="33"/>
            <w:vAlign w:val="center"/>
          </w:tcPr>
          <w:p w14:paraId="453F2E15" w14:textId="7A3295BB" w:rsidR="00631C51" w:rsidRPr="00631C51" w:rsidRDefault="00631C51" w:rsidP="00631C5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14.6.1.3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Efikasna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</w:t>
            </w:r>
            <w:r w:rsidR="00E95EE5">
              <w:rPr>
                <w:rFonts w:ascii="Times New Roman" w:hAnsi="Times New Roman" w:cs="Times New Roman"/>
                <w:noProof/>
                <w:sz w:val="18"/>
                <w:szCs w:val="18"/>
              </w:rPr>
              <w:t>ravosudna</w:t>
            </w:r>
            <w:r w:rsidRPr="00631C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noProof/>
                <w:sz w:val="18"/>
                <w:szCs w:val="18"/>
              </w:rPr>
              <w:t>uprava</w:t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23D7C43B" w14:textId="27D1485A" w:rsidR="00631C51" w:rsidRPr="00C576C8" w:rsidRDefault="00E95EE5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Evidencija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pravosudnim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ispitima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19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278FE041" w14:textId="21486DA9" w:rsidR="00631C51" w:rsidRPr="00C576C8" w:rsidRDefault="00E95EE5" w:rsidP="00631C51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obrađenih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zahtjeva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59AE8C4" w14:textId="77777777" w:rsidR="00631C51" w:rsidRPr="00C576C8" w:rsidRDefault="009B548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256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2E08829" w14:textId="77777777" w:rsidR="00631C51" w:rsidRPr="00B04DDA" w:rsidRDefault="003440AC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B04DD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256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6AD46861" w14:textId="6D2241F6" w:rsidR="00631C51" w:rsidRPr="00C576C8" w:rsidRDefault="0005628F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240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B5491F" w14:textId="77777777" w:rsidR="00631C51" w:rsidRPr="00C576C8" w:rsidRDefault="00C662E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234</w:t>
            </w:r>
          </w:p>
        </w:tc>
      </w:tr>
      <w:tr w:rsidR="00631C51" w:rsidRPr="00C576C8" w14:paraId="46A59EE5" w14:textId="77777777" w:rsidTr="00631C51">
        <w:trPr>
          <w:trHeight w:val="183"/>
        </w:trPr>
        <w:tc>
          <w:tcPr>
            <w:tcW w:w="1308" w:type="pct"/>
            <w:vMerge/>
            <w:shd w:val="clear" w:color="auto" w:fill="FFF2CC" w:themeFill="accent4" w:themeFillTint="33"/>
            <w:vAlign w:val="center"/>
          </w:tcPr>
          <w:p w14:paraId="221901CF" w14:textId="77777777" w:rsidR="00631C51" w:rsidRPr="00631C51" w:rsidRDefault="00631C51" w:rsidP="00631C5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467342C" w14:textId="572FDF20" w:rsidR="00631C51" w:rsidRPr="00C576C8" w:rsidRDefault="00E95EE5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Podn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sci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OKO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0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76494AE2" w14:textId="6551D1D8" w:rsidR="00631C51" w:rsidRPr="00C576C8" w:rsidRDefault="00E95EE5" w:rsidP="00631C51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podneska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4CAA434" w14:textId="77777777" w:rsidR="00631C51" w:rsidRPr="00C576C8" w:rsidRDefault="009B548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87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D0A5282" w14:textId="77777777" w:rsidR="00631C51" w:rsidRPr="00B04DDA" w:rsidRDefault="003440AC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B04DD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87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00C0332" w14:textId="52FE0E67" w:rsidR="00631C51" w:rsidRPr="00C576C8" w:rsidRDefault="0005628F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98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57E350F5" w14:textId="77777777" w:rsidR="00631C51" w:rsidRPr="00C576C8" w:rsidRDefault="00314007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62,5%</w:t>
            </w:r>
          </w:p>
        </w:tc>
      </w:tr>
      <w:tr w:rsidR="00631C51" w:rsidRPr="00C576C8" w14:paraId="38E025BA" w14:textId="77777777" w:rsidTr="00631C51">
        <w:trPr>
          <w:trHeight w:val="183"/>
        </w:trPr>
        <w:tc>
          <w:tcPr>
            <w:tcW w:w="1308" w:type="pct"/>
            <w:vMerge/>
            <w:shd w:val="clear" w:color="auto" w:fill="FFF2CC" w:themeFill="accent4" w:themeFillTint="33"/>
            <w:vAlign w:val="center"/>
          </w:tcPr>
          <w:p w14:paraId="5ACD9380" w14:textId="77777777" w:rsidR="00631C51" w:rsidRPr="00631C51" w:rsidRDefault="00631C51" w:rsidP="00631C5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1BA08D50" w14:textId="5265D268" w:rsidR="00631C51" w:rsidRPr="00C576C8" w:rsidRDefault="00E95EE5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Evidencija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rada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Sudske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policije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Sud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Tužilaštvo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1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7959FA8B" w14:textId="3756ACCC" w:rsidR="00631C51" w:rsidRPr="00C576C8" w:rsidRDefault="00E95EE5" w:rsidP="00631C51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izvršenih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naredbi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BEDA774" w14:textId="77777777" w:rsidR="00631C51" w:rsidRPr="00C576C8" w:rsidRDefault="009B548E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1689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73DB17B" w14:textId="77777777" w:rsidR="00631C51" w:rsidRPr="00C576C8" w:rsidRDefault="00A15A40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1254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4CE9931" w14:textId="1A6A6D20" w:rsidR="00631C51" w:rsidRPr="00C576C8" w:rsidRDefault="0005628F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1860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4D7E104" w14:textId="1BB93D77" w:rsidR="00631C51" w:rsidRPr="00C576C8" w:rsidRDefault="00D10548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99%</w:t>
            </w:r>
            <w:r w:rsidR="00014C19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2"/>
            </w:r>
          </w:p>
        </w:tc>
      </w:tr>
      <w:tr w:rsidR="00631C51" w:rsidRPr="00C576C8" w14:paraId="4FB0DA2C" w14:textId="77777777" w:rsidTr="00631C51">
        <w:trPr>
          <w:trHeight w:val="270"/>
        </w:trPr>
        <w:tc>
          <w:tcPr>
            <w:tcW w:w="1308" w:type="pct"/>
            <w:shd w:val="clear" w:color="auto" w:fill="FFF2CC" w:themeFill="accent4" w:themeFillTint="33"/>
            <w:vAlign w:val="center"/>
          </w:tcPr>
          <w:p w14:paraId="0A143128" w14:textId="3AAE376E" w:rsidR="00631C51" w:rsidRPr="00631C51" w:rsidRDefault="00631C51" w:rsidP="00631C5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14.6.1.4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Međunarodna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insitucionalna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pravosudna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saradnja</w:t>
            </w:r>
            <w:r w:rsidR="00314007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</w:t>
            </w:r>
            <w:r w:rsidR="00314007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usklađivanje</w:t>
            </w:r>
            <w:r w:rsidR="00314007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zakonodavstva</w:t>
            </w:r>
            <w:r w:rsidR="00314007">
              <w:rPr>
                <w:rStyle w:val="FootnoteReference"/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footnoteReference w:id="23"/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43AE842D" w14:textId="3C324C0B" w:rsidR="00631C51" w:rsidRPr="00C576C8" w:rsidRDefault="00E95EE5" w:rsidP="00631C51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Predmeti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saradnje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međunarodnim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pravosudnim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organima</w:t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1911987A" w14:textId="5D328125" w:rsidR="00631C51" w:rsidRPr="00C576C8" w:rsidRDefault="00E95EE5" w:rsidP="00631C51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31349E6" w14:textId="77777777" w:rsidR="00631C51" w:rsidRPr="00C576C8" w:rsidRDefault="009B548E" w:rsidP="00631C51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  <w:r w:rsidR="003440AC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4"/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2606E4A2" w14:textId="77777777" w:rsidR="00631C51" w:rsidRPr="00C576C8" w:rsidRDefault="003440AC" w:rsidP="00631C51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73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17DD9CA" w14:textId="38702321" w:rsidR="00631C51" w:rsidRPr="00C576C8" w:rsidRDefault="0005628F" w:rsidP="00631C51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4190A68" w14:textId="77777777" w:rsidR="00631C51" w:rsidRPr="00C576C8" w:rsidRDefault="00314007" w:rsidP="00631C51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7</w:t>
            </w:r>
          </w:p>
        </w:tc>
      </w:tr>
    </w:tbl>
    <w:p w14:paraId="4EAEB222" w14:textId="77777777" w:rsidR="009B548E" w:rsidRDefault="009B548E">
      <w:r>
        <w:br w:type="page"/>
      </w:r>
    </w:p>
    <w:tbl>
      <w:tblPr>
        <w:tblStyle w:val="TableGrid1"/>
        <w:tblpPr w:leftFromText="180" w:rightFromText="180" w:vertAnchor="text" w:tblpX="-43" w:tblpY="1"/>
        <w:tblOverlap w:val="never"/>
        <w:tblW w:w="5027" w:type="pct"/>
        <w:tblLook w:val="04A0" w:firstRow="1" w:lastRow="0" w:firstColumn="1" w:lastColumn="0" w:noHBand="0" w:noVBand="1"/>
      </w:tblPr>
      <w:tblGrid>
        <w:gridCol w:w="3755"/>
        <w:gridCol w:w="1880"/>
        <w:gridCol w:w="1358"/>
        <w:gridCol w:w="1404"/>
        <w:gridCol w:w="2156"/>
        <w:gridCol w:w="1880"/>
        <w:gridCol w:w="1920"/>
      </w:tblGrid>
      <w:tr w:rsidR="009B548E" w:rsidRPr="00C576C8" w14:paraId="652A0E29" w14:textId="77777777" w:rsidTr="009B548E">
        <w:trPr>
          <w:trHeight w:val="1414"/>
        </w:trPr>
        <w:tc>
          <w:tcPr>
            <w:tcW w:w="1308" w:type="pct"/>
            <w:shd w:val="clear" w:color="auto" w:fill="44546A" w:themeFill="text2"/>
            <w:vAlign w:val="center"/>
          </w:tcPr>
          <w:p w14:paraId="3EB2A270" w14:textId="1E1A14BF" w:rsidR="009B548E" w:rsidRPr="00C576C8" w:rsidRDefault="00E95EE5" w:rsidP="00AF366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="00E317B6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</w:t>
            </w:r>
            <w:r w:rsidR="00E317B6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Normativno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pravna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djelatnost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,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provođenje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praćenje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propisa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iz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oblasti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sistema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izvršenja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632CCD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kaznenih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sankcija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inspekcijski</w:t>
            </w:r>
            <w:r w:rsidR="009B548E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nadrzor</w:t>
            </w:r>
            <w:r w:rsidR="009B548E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25"/>
            </w:r>
          </w:p>
        </w:tc>
        <w:tc>
          <w:tcPr>
            <w:tcW w:w="655" w:type="pct"/>
            <w:shd w:val="clear" w:color="auto" w:fill="44546A" w:themeFill="text2"/>
            <w:vAlign w:val="center"/>
          </w:tcPr>
          <w:p w14:paraId="660E7E79" w14:textId="3BCCFB6A" w:rsidR="009B548E" w:rsidRPr="00C576C8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473" w:type="pct"/>
            <w:shd w:val="clear" w:color="auto" w:fill="44546A" w:themeFill="text2"/>
            <w:vAlign w:val="center"/>
          </w:tcPr>
          <w:p w14:paraId="5516D55A" w14:textId="33FC1D71" w:rsidR="009B548E" w:rsidRPr="00C576C8" w:rsidRDefault="00E95EE5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6803BF06" w14:textId="2779A5AE" w:rsidR="009B548E" w:rsidRPr="00C576C8" w:rsidRDefault="00E95EE5" w:rsidP="009C2977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489" w:type="pct"/>
            <w:shd w:val="clear" w:color="auto" w:fill="44546A" w:themeFill="text2"/>
            <w:vAlign w:val="center"/>
          </w:tcPr>
          <w:p w14:paraId="3532822B" w14:textId="43235000" w:rsidR="00AF3667" w:rsidRDefault="00E95EE5" w:rsidP="00AF366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</w:t>
            </w:r>
            <w:r w:rsidR="00AF3667"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6EF82981" w14:textId="12B9568A" w:rsidR="009B548E" w:rsidRPr="00C576C8" w:rsidRDefault="009C2977" w:rsidP="00AF366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9B548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751" w:type="pct"/>
            <w:shd w:val="clear" w:color="auto" w:fill="44546A" w:themeFill="text2"/>
            <w:vAlign w:val="center"/>
          </w:tcPr>
          <w:p w14:paraId="415D2DA1" w14:textId="1EE8FB9C" w:rsidR="009B548E" w:rsidRPr="00C576C8" w:rsidRDefault="009C2977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2019</w:t>
            </w:r>
            <w:r w:rsidR="009B548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55" w:type="pct"/>
            <w:shd w:val="clear" w:color="auto" w:fill="44546A" w:themeFill="text2"/>
            <w:vAlign w:val="center"/>
          </w:tcPr>
          <w:p w14:paraId="2EAC4564" w14:textId="60E871DE" w:rsidR="009B548E" w:rsidRPr="00C576C8" w:rsidRDefault="009C2977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2020</w:t>
            </w:r>
            <w:r w:rsidR="009B548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69" w:type="pct"/>
            <w:shd w:val="clear" w:color="auto" w:fill="44546A" w:themeFill="text2"/>
            <w:vAlign w:val="center"/>
          </w:tcPr>
          <w:p w14:paraId="21EEE73F" w14:textId="55BD9B03" w:rsidR="009B548E" w:rsidRPr="00C576C8" w:rsidRDefault="009C2977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2021</w:t>
            </w:r>
            <w:r w:rsidR="009B548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</w:tr>
      <w:tr w:rsidR="009B548E" w:rsidRPr="00C576C8" w14:paraId="224D9918" w14:textId="77777777" w:rsidTr="00AF3667">
        <w:trPr>
          <w:trHeight w:val="552"/>
        </w:trPr>
        <w:tc>
          <w:tcPr>
            <w:tcW w:w="1308" w:type="pct"/>
            <w:vMerge w:val="restart"/>
            <w:shd w:val="clear" w:color="auto" w:fill="FFF2CC" w:themeFill="accent4" w:themeFillTint="33"/>
            <w:vAlign w:val="center"/>
          </w:tcPr>
          <w:p w14:paraId="196E3687" w14:textId="04FEAD65" w:rsidR="009B548E" w:rsidRPr="00C576C8" w:rsidRDefault="009B548E" w:rsidP="009C2977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14.6.2.1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Rukovođenje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sistemom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izvršenje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632CC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kaznenih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sankcija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26"/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42EA7A5" w14:textId="47E68980" w:rsidR="009B548E" w:rsidRPr="00C576C8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Nacrti</w:t>
            </w:r>
            <w:r w:rsidR="004E3F5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prijedlozi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drugih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VM</w:t>
            </w:r>
            <w:r w:rsidR="009B548E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7CE22D2B" w14:textId="6FD2BB0F" w:rsidR="009B548E" w:rsidRPr="00C576C8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0BEBCEB9" w14:textId="77777777" w:rsidR="009B548E" w:rsidRPr="00C576C8" w:rsidRDefault="009C2977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0664BAC" w14:textId="77777777" w:rsidR="009B548E" w:rsidRPr="00C576C8" w:rsidRDefault="004E3F54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9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F71F5BB" w14:textId="2CF451D7" w:rsidR="009B548E" w:rsidRPr="00C576C8" w:rsidRDefault="0005628F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1ECBE4E" w14:textId="77777777" w:rsidR="009B548E" w:rsidRPr="00C576C8" w:rsidRDefault="00314007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</w:tr>
      <w:tr w:rsidR="009B548E" w:rsidRPr="00C576C8" w14:paraId="6E6B9483" w14:textId="77777777" w:rsidTr="00AF3667">
        <w:trPr>
          <w:trHeight w:val="334"/>
        </w:trPr>
        <w:tc>
          <w:tcPr>
            <w:tcW w:w="1308" w:type="pct"/>
            <w:vMerge/>
            <w:shd w:val="clear" w:color="auto" w:fill="FFF2CC" w:themeFill="accent4" w:themeFillTint="33"/>
            <w:vAlign w:val="center"/>
          </w:tcPr>
          <w:p w14:paraId="15F6F0C8" w14:textId="77777777" w:rsidR="009B548E" w:rsidRPr="00C576C8" w:rsidRDefault="009B548E" w:rsidP="009C29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D7FF1F0" w14:textId="04503E92" w:rsidR="009B548E" w:rsidRPr="00C576C8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Zavodska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infrastruktura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7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70715063" w14:textId="77777777" w:rsidR="009B548E" w:rsidRDefault="009C2977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625DBC1" w14:textId="77777777" w:rsidR="009B548E" w:rsidRPr="00C576C8" w:rsidRDefault="009C2977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56C4345" w14:textId="77777777" w:rsidR="009B548E" w:rsidRPr="00C576C8" w:rsidRDefault="004E3F54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55D84D6" w14:textId="77777777" w:rsidR="009B548E" w:rsidRPr="00C576C8" w:rsidRDefault="00314007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FBDC641" w14:textId="77777777" w:rsidR="009B548E" w:rsidRPr="00C576C8" w:rsidRDefault="00314007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548E" w:rsidRPr="00C576C8" w14:paraId="259CBFE6" w14:textId="77777777" w:rsidTr="00AF3667">
        <w:trPr>
          <w:trHeight w:val="495"/>
        </w:trPr>
        <w:tc>
          <w:tcPr>
            <w:tcW w:w="1308" w:type="pct"/>
            <w:shd w:val="clear" w:color="auto" w:fill="FFF2CC" w:themeFill="accent4" w:themeFillTint="33"/>
            <w:vAlign w:val="center"/>
          </w:tcPr>
          <w:p w14:paraId="302D4AD2" w14:textId="6736C49B" w:rsidR="009B548E" w:rsidRPr="00C576C8" w:rsidRDefault="009C2977" w:rsidP="009C2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14.6.2.2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Razvoj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praćenje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primjene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alternativnih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sankcija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BiH</w:t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549C1D0D" w14:textId="55D9F594" w:rsidR="009B548E" w:rsidRPr="00C576C8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Evidencija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alternativnim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sankcijama</w:t>
            </w:r>
            <w:r w:rsidR="0031400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8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04134F7F" w14:textId="4BE110A7" w:rsidR="009B548E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Opisno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3DD7175" w14:textId="45EFDF3B" w:rsidR="009B548E" w:rsidRPr="00C576C8" w:rsidRDefault="00E95EE5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Slabo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evidencije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15689CC" w14:textId="645203A3" w:rsidR="009B548E" w:rsidRPr="00C576C8" w:rsidRDefault="00E95EE5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Uspostavljene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evidencije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alternativne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sankcije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4E3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prate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3FF106FD" w14:textId="77777777" w:rsidR="009B548E" w:rsidRPr="00C576C8" w:rsidRDefault="00D10548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1708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9"/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CA5F460" w14:textId="77777777" w:rsidR="009B548E" w:rsidRPr="00C576C8" w:rsidRDefault="00314007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1708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0"/>
            </w:r>
          </w:p>
        </w:tc>
      </w:tr>
      <w:tr w:rsidR="009C2977" w:rsidRPr="00C576C8" w14:paraId="0CFC5412" w14:textId="77777777" w:rsidTr="00AF3667">
        <w:trPr>
          <w:trHeight w:val="561"/>
        </w:trPr>
        <w:tc>
          <w:tcPr>
            <w:tcW w:w="1308" w:type="pct"/>
            <w:shd w:val="clear" w:color="auto" w:fill="FFF2CC" w:themeFill="accent4" w:themeFillTint="33"/>
            <w:vAlign w:val="center"/>
          </w:tcPr>
          <w:p w14:paraId="097A96CD" w14:textId="4BAE26FD" w:rsidR="009C2977" w:rsidRDefault="009C2977" w:rsidP="009C2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14.6.2.3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Unapređenje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primjene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međunarodnih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standarda</w:t>
            </w:r>
          </w:p>
        </w:tc>
        <w:tc>
          <w:tcPr>
            <w:tcW w:w="655" w:type="pct"/>
            <w:shd w:val="clear" w:color="auto" w:fill="FFF2CC" w:themeFill="accent4" w:themeFillTint="33"/>
            <w:vAlign w:val="center"/>
          </w:tcPr>
          <w:p w14:paraId="3EF7EB73" w14:textId="1322D2AF" w:rsidR="009C2977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Evidencija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primjeni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međunarodnih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standarda</w:t>
            </w:r>
            <w:r w:rsidR="005070A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1"/>
            </w:r>
          </w:p>
        </w:tc>
        <w:tc>
          <w:tcPr>
            <w:tcW w:w="473" w:type="pct"/>
            <w:shd w:val="clear" w:color="auto" w:fill="FFF2CC" w:themeFill="accent4" w:themeFillTint="33"/>
            <w:vAlign w:val="center"/>
          </w:tcPr>
          <w:p w14:paraId="48105E5D" w14:textId="6A405F53" w:rsidR="009C2977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Opisno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3700E97B" w14:textId="71BF5436" w:rsidR="009C2977" w:rsidRPr="00C576C8" w:rsidRDefault="00E95EE5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Međunarodni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standardi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slabo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9C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prate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909E967" w14:textId="2B346334" w:rsidR="009C2977" w:rsidRPr="00C576C8" w:rsidRDefault="00E95EE5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Uspostavljene</w:t>
            </w:r>
            <w:r w:rsidR="003440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evidencije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4C4BE677" w14:textId="75C0C30E" w:rsidR="009C2977" w:rsidRPr="00C576C8" w:rsidRDefault="00E95EE5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Uspostavljene</w:t>
            </w:r>
            <w:r w:rsidR="005070A7" w:rsidRPr="005070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evidencije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6D5391A" w14:textId="6C6C71B7" w:rsidR="009C2977" w:rsidRPr="00C576C8" w:rsidRDefault="00E95EE5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Uspostavljene</w:t>
            </w:r>
            <w:r w:rsidR="005070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evidencije</w:t>
            </w:r>
          </w:p>
        </w:tc>
      </w:tr>
    </w:tbl>
    <w:p w14:paraId="4731DDCD" w14:textId="77777777" w:rsidR="009C2977" w:rsidRDefault="009C2977">
      <w:r>
        <w:br w:type="page"/>
      </w:r>
    </w:p>
    <w:tbl>
      <w:tblPr>
        <w:tblStyle w:val="TableGrid1"/>
        <w:tblpPr w:leftFromText="180" w:rightFromText="180" w:vertAnchor="text" w:tblpX="-43" w:tblpY="1"/>
        <w:tblOverlap w:val="never"/>
        <w:tblW w:w="5027" w:type="pct"/>
        <w:tblLook w:val="04A0" w:firstRow="1" w:lastRow="0" w:firstColumn="1" w:lastColumn="0" w:noHBand="0" w:noVBand="1"/>
      </w:tblPr>
      <w:tblGrid>
        <w:gridCol w:w="3558"/>
        <w:gridCol w:w="2216"/>
        <w:gridCol w:w="1567"/>
        <w:gridCol w:w="1653"/>
        <w:gridCol w:w="1958"/>
        <w:gridCol w:w="1682"/>
        <w:gridCol w:w="1719"/>
      </w:tblGrid>
      <w:tr w:rsidR="00C576C8" w:rsidRPr="00C576C8" w14:paraId="3F9AAF1A" w14:textId="77777777" w:rsidTr="00EB08BF">
        <w:trPr>
          <w:trHeight w:val="270"/>
        </w:trPr>
        <w:tc>
          <w:tcPr>
            <w:tcW w:w="1239" w:type="pct"/>
            <w:shd w:val="clear" w:color="auto" w:fill="44546A" w:themeFill="text2"/>
            <w:vAlign w:val="center"/>
          </w:tcPr>
          <w:p w14:paraId="30AEDCA1" w14:textId="4CB3B91C" w:rsidR="009F5F1F" w:rsidRPr="00C576C8" w:rsidRDefault="00E95EE5" w:rsidP="009C297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lastRenderedPageBreak/>
              <w:t>Projekti</w:t>
            </w:r>
            <w:r w:rsidR="00E317B6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programa</w:t>
            </w:r>
            <w:r w:rsidR="00E317B6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Sistem</w:t>
            </w:r>
            <w:r w:rsidR="009C297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međunarodne</w:t>
            </w:r>
            <w:r w:rsidR="009C297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pravne</w:t>
            </w:r>
            <w:r w:rsidR="009C297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pomoći</w:t>
            </w:r>
            <w:r w:rsidR="009C297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9C2977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t>saradnje</w:t>
            </w:r>
            <w:r w:rsidR="00F33A8B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FFFFFF" w:themeColor="background1"/>
                <w:sz w:val="18"/>
                <w:szCs w:val="18"/>
                <w:lang w:val="bs-Latn-BA"/>
              </w:rPr>
              <w:footnoteReference w:id="32"/>
            </w:r>
          </w:p>
        </w:tc>
        <w:tc>
          <w:tcPr>
            <w:tcW w:w="772" w:type="pct"/>
            <w:shd w:val="clear" w:color="auto" w:fill="44546A" w:themeFill="text2"/>
            <w:vAlign w:val="center"/>
          </w:tcPr>
          <w:p w14:paraId="3F52D6D1" w14:textId="2567E770" w:rsidR="009F5F1F" w:rsidRPr="00C576C8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Pokazatelj</w:t>
            </w:r>
          </w:p>
        </w:tc>
        <w:tc>
          <w:tcPr>
            <w:tcW w:w="546" w:type="pct"/>
            <w:shd w:val="clear" w:color="auto" w:fill="44546A" w:themeFill="text2"/>
            <w:vAlign w:val="center"/>
          </w:tcPr>
          <w:p w14:paraId="6807F0F5" w14:textId="78813F8B" w:rsidR="009F5F1F" w:rsidRPr="00C576C8" w:rsidRDefault="00E95EE5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Jedinica</w:t>
            </w:r>
          </w:p>
          <w:p w14:paraId="13B3C976" w14:textId="6FB86219" w:rsidR="009F5F1F" w:rsidRPr="00C576C8" w:rsidRDefault="00E95EE5" w:rsidP="00B02828">
            <w:pPr>
              <w:spacing w:line="237" w:lineRule="auto"/>
              <w:ind w:left="1" w:right="7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mjerenja</w:t>
            </w:r>
          </w:p>
        </w:tc>
        <w:tc>
          <w:tcPr>
            <w:tcW w:w="576" w:type="pct"/>
            <w:shd w:val="clear" w:color="auto" w:fill="44546A" w:themeFill="text2"/>
            <w:vAlign w:val="center"/>
          </w:tcPr>
          <w:p w14:paraId="7EBDB452" w14:textId="43E015F4" w:rsidR="00AF3667" w:rsidRDefault="00E95EE5" w:rsidP="00B02828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Polazna</w:t>
            </w:r>
            <w:r w:rsidR="00AF3667"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vrijednost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</w:p>
          <w:p w14:paraId="261FFFE5" w14:textId="1181BC67" w:rsidR="009F5F1F" w:rsidRPr="00C576C8" w:rsidRDefault="009C2977" w:rsidP="00AF366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2018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682" w:type="pct"/>
            <w:shd w:val="clear" w:color="auto" w:fill="44546A" w:themeFill="text2"/>
            <w:vAlign w:val="center"/>
          </w:tcPr>
          <w:p w14:paraId="34A8C723" w14:textId="6AE5A6D4" w:rsidR="009F5F1F" w:rsidRPr="00C576C8" w:rsidRDefault="009F5F1F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201</w:t>
            </w:r>
            <w:r w:rsidR="009C29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9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586" w:type="pct"/>
            <w:shd w:val="clear" w:color="auto" w:fill="44546A" w:themeFill="text2"/>
            <w:vAlign w:val="center"/>
          </w:tcPr>
          <w:p w14:paraId="49EC667A" w14:textId="7118783F" w:rsidR="009F5F1F" w:rsidRPr="00C576C8" w:rsidRDefault="009F5F1F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9C29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  <w:tc>
          <w:tcPr>
            <w:tcW w:w="599" w:type="pct"/>
            <w:shd w:val="clear" w:color="auto" w:fill="44546A" w:themeFill="text2"/>
            <w:vAlign w:val="center"/>
          </w:tcPr>
          <w:p w14:paraId="0D242B38" w14:textId="2A3BFB01" w:rsidR="009F5F1F" w:rsidRPr="00C576C8" w:rsidRDefault="009F5F1F" w:rsidP="009C2977">
            <w:pPr>
              <w:spacing w:line="237" w:lineRule="auto"/>
              <w:ind w:left="1" w:right="5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</w:pPr>
            <w:r w:rsidRPr="00C576C8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20</w:t>
            </w:r>
            <w:r w:rsidR="009C297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21</w:t>
            </w:r>
            <w:r w:rsidR="006A779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AF366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godina</w:t>
            </w:r>
          </w:p>
        </w:tc>
      </w:tr>
      <w:tr w:rsidR="00014C19" w:rsidRPr="00C576C8" w14:paraId="283A7952" w14:textId="77777777" w:rsidTr="00C735C3">
        <w:trPr>
          <w:trHeight w:val="288"/>
        </w:trPr>
        <w:tc>
          <w:tcPr>
            <w:tcW w:w="1239" w:type="pct"/>
            <w:vMerge w:val="restart"/>
            <w:shd w:val="clear" w:color="auto" w:fill="FFF2CC" w:themeFill="accent4" w:themeFillTint="33"/>
            <w:vAlign w:val="center"/>
          </w:tcPr>
          <w:p w14:paraId="2C3C5548" w14:textId="032C9F21" w:rsidR="00014C19" w:rsidRPr="00C576C8" w:rsidRDefault="00014C19" w:rsidP="00B02828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14.6.3.1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Pružanje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međunarodne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međuentitetske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institucionalne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saradnje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33"/>
            </w: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21A08705" w14:textId="25BB6FC1" w:rsidR="00014C19" w:rsidRPr="00C576C8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Nacrti</w:t>
            </w:r>
            <w:r w:rsidR="00014C1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konvencija</w:t>
            </w:r>
            <w:r w:rsidR="00014C1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014C1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drugih</w:t>
            </w:r>
            <w:r w:rsidR="00014C19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014C19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34"/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266898D2" w14:textId="7189CE2D" w:rsidR="00014C19" w:rsidRPr="00C576C8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5BB6724" w14:textId="77777777" w:rsidR="00014C19" w:rsidRPr="00C576C8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170820E" w14:textId="77777777" w:rsidR="00014C19" w:rsidRPr="00C576C8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43A32D8" w14:textId="77777777" w:rsidR="00014C19" w:rsidRPr="00C576C8" w:rsidRDefault="00014C19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7BD678E" w14:textId="77777777" w:rsidR="00014C19" w:rsidRPr="00C576C8" w:rsidRDefault="00014C19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</w:p>
        </w:tc>
      </w:tr>
      <w:tr w:rsidR="00014C19" w:rsidRPr="00C576C8" w14:paraId="61B52687" w14:textId="77777777" w:rsidTr="00C735C3">
        <w:trPr>
          <w:trHeight w:val="436"/>
        </w:trPr>
        <w:tc>
          <w:tcPr>
            <w:tcW w:w="1239" w:type="pct"/>
            <w:vMerge/>
            <w:shd w:val="clear" w:color="auto" w:fill="FFF2CC" w:themeFill="accent4" w:themeFillTint="33"/>
            <w:vAlign w:val="center"/>
          </w:tcPr>
          <w:p w14:paraId="664D043F" w14:textId="77777777" w:rsidR="00014C19" w:rsidRDefault="00014C19" w:rsidP="00B02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33A8CD56" w14:textId="51D1DC0D" w:rsidR="00014C19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Nacrti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zakona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drugih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propisa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koji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upućuju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</w:rPr>
              <w:t>VM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BiH</w:t>
            </w:r>
            <w:r w:rsidR="00014C19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5"/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6DDA3E05" w14:textId="2E78AFFF" w:rsidR="00014C19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88A4797" w14:textId="77777777" w:rsidR="00014C19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BE95CC6" w14:textId="77777777" w:rsidR="00014C19" w:rsidRPr="00C576C8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6"/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298E780" w14:textId="77777777" w:rsidR="00014C19" w:rsidRPr="00C576C8" w:rsidRDefault="00014C19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EF615F5" w14:textId="77777777" w:rsidR="00014C19" w:rsidRPr="00C576C8" w:rsidRDefault="00014C19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4C19" w:rsidRPr="00C576C8" w14:paraId="75C587A9" w14:textId="77777777" w:rsidTr="00C735C3">
        <w:trPr>
          <w:trHeight w:val="643"/>
        </w:trPr>
        <w:tc>
          <w:tcPr>
            <w:tcW w:w="1239" w:type="pct"/>
            <w:vMerge/>
            <w:shd w:val="clear" w:color="auto" w:fill="FFF2CC" w:themeFill="accent4" w:themeFillTint="33"/>
            <w:vAlign w:val="center"/>
          </w:tcPr>
          <w:p w14:paraId="5D0F5DB1" w14:textId="77777777" w:rsidR="00014C19" w:rsidRDefault="00014C19" w:rsidP="00B02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318A26AB" w14:textId="3ABE8D5E" w:rsidR="00014C19" w:rsidRDefault="00E95EE5" w:rsidP="009C2977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Unapređena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saradnja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sudovima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tužilaštvima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postupanju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="00014C19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zamolnicama</w:t>
            </w:r>
            <w:r w:rsidR="00014C19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7"/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1BFA4005" w14:textId="2D5BAD67" w:rsidR="00014C19" w:rsidRDefault="00E95EE5" w:rsidP="009C2977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Indeks</w:t>
            </w:r>
            <w:r w:rsid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A76C7BF" w14:textId="4220A682" w:rsidR="00014C19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9D9D29C" w14:textId="5CD254C4" w:rsidR="00014C19" w:rsidRDefault="00014C19" w:rsidP="009C2977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4719DE9" w14:textId="3B8ECF5B" w:rsidR="00014C19" w:rsidRDefault="00014C19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5C3DB6B" w14:textId="07AEE665" w:rsidR="00014C19" w:rsidRDefault="00B04DDA" w:rsidP="009C2977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F3667" w:rsidRPr="00C576C8" w14:paraId="7126579B" w14:textId="77777777" w:rsidTr="00C735C3">
        <w:trPr>
          <w:trHeight w:val="372"/>
        </w:trPr>
        <w:tc>
          <w:tcPr>
            <w:tcW w:w="1239" w:type="pct"/>
            <w:vMerge w:val="restart"/>
            <w:shd w:val="clear" w:color="auto" w:fill="FFF2CC" w:themeFill="accent4" w:themeFillTint="33"/>
            <w:vAlign w:val="center"/>
          </w:tcPr>
          <w:p w14:paraId="7D93F0AA" w14:textId="27835D16" w:rsidR="00AF3667" w:rsidRDefault="00AF3667" w:rsidP="00B028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14.6.3.2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Pristupanje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konvencijama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zaključivanje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8"/>
            </w: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2F84B1FB" w14:textId="0596353B" w:rsidR="00AF3667" w:rsidRPr="00C576C8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Vremenski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okvir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neusklađenosti</w:t>
            </w:r>
            <w:r w:rsidR="00AF366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9"/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10ACA65B" w14:textId="69EDECA6" w:rsidR="00AF3667" w:rsidRDefault="00E95EE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mjeseci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A769F10" w14:textId="77777777" w:rsidR="00AF3667" w:rsidRPr="00C576C8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40"/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3C116E2" w14:textId="77777777" w:rsidR="00AF3667" w:rsidRPr="00C576C8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197AF6C" w14:textId="77777777" w:rsidR="00AF3667" w:rsidRPr="00C576C8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3319B7A" w14:textId="77777777" w:rsidR="00AF3667" w:rsidRPr="00C576C8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F3667" w:rsidRPr="00C576C8" w14:paraId="5C4A2E4E" w14:textId="77777777" w:rsidTr="00C735C3">
        <w:trPr>
          <w:trHeight w:val="392"/>
        </w:trPr>
        <w:tc>
          <w:tcPr>
            <w:tcW w:w="1239" w:type="pct"/>
            <w:vMerge/>
            <w:shd w:val="clear" w:color="auto" w:fill="FFF2CC" w:themeFill="accent4" w:themeFillTint="33"/>
            <w:vAlign w:val="center"/>
          </w:tcPr>
          <w:p w14:paraId="66FBCFAA" w14:textId="77777777" w:rsidR="00AF3667" w:rsidRDefault="00AF3667" w:rsidP="00B02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655A9E6C" w14:textId="7589F3CD" w:rsidR="00AF3667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Usaglašenost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sudske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prakse</w:t>
            </w:r>
            <w:r w:rsidR="00AF3667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41"/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607C8420" w14:textId="1759E8EF" w:rsidR="00AF3667" w:rsidRDefault="00E95EE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Indeks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3E5B93C" w14:textId="77777777" w:rsidR="00AF3667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000512" w14:textId="77777777" w:rsidR="00AF3667" w:rsidRPr="00C576C8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ECF47F2" w14:textId="77777777" w:rsidR="00AF3667" w:rsidRPr="00C576C8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10808E5" w14:textId="77777777" w:rsidR="00AF3667" w:rsidRPr="00C576C8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F3667" w:rsidRPr="00C576C8" w14:paraId="4DB5A978" w14:textId="77777777" w:rsidTr="00AF3667">
        <w:trPr>
          <w:trHeight w:val="653"/>
        </w:trPr>
        <w:tc>
          <w:tcPr>
            <w:tcW w:w="1239" w:type="pct"/>
            <w:vMerge/>
            <w:shd w:val="clear" w:color="auto" w:fill="FFF2CC" w:themeFill="accent4" w:themeFillTint="33"/>
            <w:vAlign w:val="center"/>
          </w:tcPr>
          <w:p w14:paraId="7657D531" w14:textId="77777777" w:rsidR="00AF3667" w:rsidRDefault="00AF3667" w:rsidP="00B028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2CC" w:themeFill="accent4" w:themeFillTint="33"/>
            <w:vAlign w:val="center"/>
          </w:tcPr>
          <w:p w14:paraId="229AB7A8" w14:textId="6562E95A" w:rsidR="00AF3667" w:rsidRDefault="00E95EE5" w:rsidP="00B02828">
            <w:pPr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Akcija</w:t>
            </w:r>
            <w:r w:rsidR="00AF3667" w:rsidRPr="00014C1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usaglašavanja</w:t>
            </w:r>
            <w:r w:rsidR="00AF3667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ugovornih</w:t>
            </w:r>
            <w:r w:rsidR="00AF3667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strana</w:t>
            </w:r>
            <w:r w:rsidR="00AF3667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F3667" w:rsidRPr="00014C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pristupanja</w:t>
            </w:r>
          </w:p>
        </w:tc>
        <w:tc>
          <w:tcPr>
            <w:tcW w:w="546" w:type="pct"/>
            <w:shd w:val="clear" w:color="auto" w:fill="FFF2CC" w:themeFill="accent4" w:themeFillTint="33"/>
            <w:vAlign w:val="center"/>
          </w:tcPr>
          <w:p w14:paraId="24846F71" w14:textId="5AEE83CE" w:rsidR="00AF3667" w:rsidRDefault="00E95EE5" w:rsidP="00B02828">
            <w:pPr>
              <w:ind w:righ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Indeks</w:t>
            </w:r>
            <w:r w:rsidR="00AF3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7B3F980" w14:textId="1CD5E787" w:rsidR="00AF3667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E7766DD" w14:textId="7AC1C31F" w:rsidR="00AF3667" w:rsidRDefault="00AF3667" w:rsidP="00B02828">
            <w:pPr>
              <w:ind w:righ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5B1EB13" w14:textId="217B058E" w:rsidR="00AF3667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59419FB" w14:textId="60E38D88" w:rsidR="00AF3667" w:rsidRDefault="00AF3667" w:rsidP="00B02828">
            <w:pPr>
              <w:ind w:right="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6AE0772" w14:textId="77777777" w:rsidR="00C735C3" w:rsidRDefault="00C735C3">
      <w:pPr>
        <w:rPr>
          <w:rFonts w:ascii="Times New Roman" w:hAnsi="Times New Roman" w:cs="Times New Roman"/>
          <w:sz w:val="24"/>
          <w:szCs w:val="24"/>
        </w:rPr>
        <w:sectPr w:rsidR="00C735C3" w:rsidSect="00C735C3"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14:paraId="24DF3C95" w14:textId="57ADFFB4" w:rsidR="00B2671B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Prilikom</w:t>
      </w:r>
      <w:r w:rsidR="009C2977" w:rsidRPr="00ED649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izrade</w:t>
      </w:r>
      <w:r w:rsidR="009C2977" w:rsidRPr="00ED649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</w:t>
      </w:r>
      <w:r w:rsidR="009C2977" w:rsidRPr="00ED649A">
        <w:rPr>
          <w:rFonts w:ascii="Times New Roman" w:hAnsi="Times New Roman" w:cs="Times New Roman"/>
          <w:sz w:val="23"/>
          <w:szCs w:val="23"/>
        </w:rPr>
        <w:t xml:space="preserve"> 2019. – 2021.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9C2977" w:rsidRPr="00ED649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pod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uticajem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razvoja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funkcije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osposoblja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va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nja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nakon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nalaza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evalucije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prethodni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trogodišnji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zadržalo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dva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cilja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svom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planu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ali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pojedine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ciljeve</w:t>
      </w:r>
      <w:r w:rsidR="009C297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grupisalo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2323D63B" w14:textId="4D35C284" w:rsidR="00B2671B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šest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posebnih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ciljeva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ranijeg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trogodišnjeg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perioda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,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2019 – 2022.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godine</w:t>
      </w:r>
      <w:r w:rsidR="00B520D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izrađena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četiri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to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jedan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1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tri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posebna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cilja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srednjoročni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2.</w:t>
      </w:r>
    </w:p>
    <w:p w14:paraId="30DE4E75" w14:textId="42DCF6F2" w:rsidR="009F5F1F" w:rsidRPr="00ED649A" w:rsidRDefault="00640226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Provođenje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postupka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evaluacije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otežano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zbog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dinamike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nastupanja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novih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okolnosti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koje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nisu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ili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bile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malo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vjerovatne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će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dogoditi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vrijeme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ali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stoga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što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veoma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velika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vjerovatnoća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prilikom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okrupnjavanja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pridruženi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drugim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projektima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ili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E95EE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programima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5B749ABF" w14:textId="07792D44" w:rsidR="009F5F1F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posmatranom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analizirane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dokumentacije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može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utvrditi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vršeni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pokušaji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povezivanja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određenih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projekta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može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zaključiti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pojedini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ranije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naznačeni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redefinisani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namjerom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pojednostavljenja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uvezivanja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višu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cjelinu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dok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unutar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,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tokom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praćenja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provođenja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bili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ocjenjeni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nisko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“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postavljeni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nivou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ugrađeni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ili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pridruženi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drugim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projektima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Došlo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izmjena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naziva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jasnije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definirani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ali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izmjena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pokušala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uvesti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indeksacija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određene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kako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se</w:t>
      </w:r>
      <w:r w:rsidR="00907645" w:rsidRPr="00ED649A"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više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uvezalo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jednostavniji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način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prikazalo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napredak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planirani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napredak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narednom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23616CBA" w14:textId="4A18F856" w:rsidR="009F5F1F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Normativno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pravne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obaveze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rani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ji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h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godina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označene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00B2671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dio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istaknuti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zasebni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srednjoročnom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periodu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2019.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2021.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godine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navedeni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obrascu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Priloga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1 -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Pregled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zakona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drugih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propisa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razvojno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–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investicionih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projekata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predviđenih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6B94DF27" w14:textId="390504B2" w:rsidR="00B2671B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Status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provođenja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ispunjenosti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ciljeva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projekata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imaju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svoje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ocjene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izvještajima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provođenju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svaku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pojedinačnu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godinu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. </w:t>
      </w:r>
      <w:r w:rsidR="00983EE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Opć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zapažanje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nastoji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uspostaviti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razvijati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unapređivati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funkcije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srednjoročnog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operativnog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tražeći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funkcionalnije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jednostavije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veze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između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povezujući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veće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cjeline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početku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odabran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pristup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evidentirani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D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okumentu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okvirnog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budžeta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(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DOB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dodijele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istim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ili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srodnim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vremenom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nastojalo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doći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unapređenja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njihovih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vrijednosti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kako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slučaj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početku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započeto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uspostavljanjem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evidencije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obrazloženju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istih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načinu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izračuna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gdje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izvori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prikupljanje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podataka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kalkulaciju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verifikaciju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4941D53A" w14:textId="0D65D912" w:rsidR="009F5F1F" w:rsidRPr="00ED649A" w:rsidRDefault="00E95EE5" w:rsidP="00397BBB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prethodnom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ciklusu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00397BBB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došlo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izjednačavanja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6D0DC8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programima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DOB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pa</w:t>
      </w:r>
      <w:r w:rsidR="00C80900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uspostavljenja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funkcionalnija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veza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procesa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budžetiranja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Poznavajući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istorijat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razvoja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funkcije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može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reći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toga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došlo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zbog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toga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što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rad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povezivanju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procesa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budžetiranja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potiče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još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prvog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što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činilo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preko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projekata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reforme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javne</w:t>
      </w:r>
      <w:r w:rsidR="7C1D1F8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uprave</w:t>
      </w:r>
      <w:r w:rsidR="002B0F8D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2B0F8D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oblasti</w:t>
      </w:r>
      <w:r w:rsidR="002B0F8D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javnih</w:t>
      </w:r>
      <w:r w:rsidR="002B0F8D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finansija</w:t>
      </w:r>
      <w:r w:rsidR="002B0F8D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6AEB33F6" w14:textId="361F3D8E" w:rsidR="00ED649A" w:rsidRDefault="00E95EE5" w:rsidP="00ED649A">
      <w:pPr>
        <w:spacing w:after="120" w:line="240" w:lineRule="auto"/>
        <w:jc w:val="both"/>
        <w:rPr>
          <w:rFonts w:ascii="Times New Roman" w:eastAsia="PMingLiU" w:hAnsi="Times New Roman" w:cs="Times New Roman"/>
          <w:lang w:eastAsia="zh-TW" w:bidi="as-IN"/>
        </w:rPr>
      </w:pPr>
      <w:r>
        <w:rPr>
          <w:rFonts w:ascii="Times New Roman" w:eastAsia="PMingLiU" w:hAnsi="Times New Roman" w:cs="Times New Roman"/>
          <w:lang w:eastAsia="zh-TW" w:bidi="as-IN"/>
        </w:rPr>
        <w:t>Praćenjem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uspješnosti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lang w:eastAsia="zh-TW" w:bidi="as-IN"/>
        </w:rPr>
        <w:t>provođenja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programa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projekata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SPR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>-</w:t>
      </w:r>
      <w:r>
        <w:rPr>
          <w:rFonts w:ascii="Times New Roman" w:eastAsia="PMingLiU" w:hAnsi="Times New Roman" w:cs="Times New Roman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MP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BiH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može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utvrditi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kako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postoje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aktivnosti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koje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obavljaju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kontinuirano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bez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odstupanja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lang w:eastAsia="zh-TW" w:bidi="as-IN"/>
        </w:rPr>
        <w:t>provođenju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te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zadanim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rokovima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>/</w:t>
      </w:r>
      <w:r>
        <w:rPr>
          <w:rFonts w:ascii="Times New Roman" w:eastAsia="PMingLiU" w:hAnsi="Times New Roman" w:cs="Times New Roman"/>
          <w:lang w:eastAsia="zh-TW" w:bidi="as-IN"/>
        </w:rPr>
        <w:t>ili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uz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eventualna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lang w:eastAsia="zh-TW" w:bidi="as-IN"/>
        </w:rPr>
        <w:t>manja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odstupanja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koja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vjerovatno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izazvana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rastućim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vanjskim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rizikom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lang w:eastAsia="zh-TW" w:bidi="as-IN"/>
        </w:rPr>
        <w:t>Isto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tako</w:t>
      </w:r>
      <w:r w:rsidR="00907645" w:rsidRPr="00ED649A">
        <w:rPr>
          <w:rFonts w:ascii="Times New Roman" w:eastAsia="PMingLiU" w:hAnsi="Times New Roman" w:cs="Times New Roman"/>
          <w:lang w:val="sr-Cyrl-BA" w:eastAsia="zh-TW" w:bidi="as-IN"/>
        </w:rPr>
        <w:t>,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prateći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lang w:eastAsia="zh-TW" w:bidi="as-IN"/>
        </w:rPr>
        <w:t>provođenje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može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se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utvrditi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kako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projekti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nisu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lang w:eastAsia="zh-TW" w:bidi="as-IN"/>
        </w:rPr>
        <w:t>definirani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ograničenjem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te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je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zato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teško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utvrditi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li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isti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okončani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lang w:eastAsia="zh-TW" w:bidi="as-IN"/>
        </w:rPr>
        <w:t>Sa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druge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strane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posmatrajući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vrijednosti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pokazatelja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određeni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broj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projekata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ima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zastoje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lang w:eastAsia="zh-TW" w:bidi="as-IN"/>
        </w:rPr>
        <w:t>provođenju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>/</w:t>
      </w:r>
      <w:r>
        <w:rPr>
          <w:rFonts w:ascii="Times New Roman" w:eastAsia="PMingLiU" w:hAnsi="Times New Roman" w:cs="Times New Roman"/>
          <w:lang w:eastAsia="zh-TW" w:bidi="as-IN"/>
        </w:rPr>
        <w:t>ili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je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djelimično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lang w:eastAsia="zh-TW" w:bidi="as-IN"/>
        </w:rPr>
        <w:t>realiziran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lang w:eastAsia="zh-TW" w:bidi="as-IN"/>
        </w:rPr>
        <w:t>s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tim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da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su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svi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započeli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sa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realizacijom</w:t>
      </w:r>
      <w:r w:rsidR="00C861DA" w:rsidRPr="00ED649A">
        <w:rPr>
          <w:rFonts w:ascii="Times New Roman" w:eastAsia="PMingLiU" w:hAnsi="Times New Roman" w:cs="Times New Roman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lang w:eastAsia="zh-TW" w:bidi="as-IN"/>
        </w:rPr>
        <w:t>S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obzirom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to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izvještaji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navode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probleme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rizike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lang w:eastAsia="zh-TW" w:bidi="as-IN"/>
        </w:rPr>
        <w:t>provođenju</w:t>
      </w:r>
      <w:r w:rsidR="00B2671B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tih</w:t>
      </w:r>
      <w:r w:rsidR="00B2671B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projekata</w:t>
      </w:r>
      <w:r w:rsidR="00B2671B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možemo</w:t>
      </w:r>
      <w:r w:rsidR="00B2671B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utvrditi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kako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isti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ili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lang w:eastAsia="zh-TW" w:bidi="as-IN"/>
        </w:rPr>
        <w:t>definirani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ambiciozno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prihva</w:t>
      </w:r>
      <w:r>
        <w:rPr>
          <w:rFonts w:ascii="Times New Roman" w:eastAsia="PMingLiU" w:hAnsi="Times New Roman" w:cs="Times New Roman"/>
          <w:lang w:val="sr-Cyrl-BA" w:eastAsia="zh-TW" w:bidi="as-IN"/>
        </w:rPr>
        <w:t>t</w:t>
      </w:r>
      <w:r>
        <w:rPr>
          <w:rFonts w:ascii="Times New Roman" w:eastAsia="PMingLiU" w:hAnsi="Times New Roman" w:cs="Times New Roman"/>
          <w:lang w:eastAsia="zh-TW" w:bidi="as-IN"/>
        </w:rPr>
        <w:t>ajući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rizike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ili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nisu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dovoljnoj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mjeri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razmotrili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lang w:eastAsia="zh-TW" w:bidi="as-IN"/>
        </w:rPr>
        <w:t>sve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aspekte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i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područja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rizika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koji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su</w:t>
      </w:r>
      <w:r w:rsidR="002B0F8D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uticali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na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lang w:eastAsia="zh-TW" w:bidi="as-IN"/>
        </w:rPr>
        <w:t>rezultate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lang w:eastAsia="zh-TW" w:bidi="as-IN"/>
        </w:rPr>
        <w:t>provođenja</w:t>
      </w:r>
      <w:r w:rsidR="7C1D1F8F" w:rsidRPr="00ED649A">
        <w:rPr>
          <w:rFonts w:ascii="Times New Roman" w:eastAsia="PMingLiU" w:hAnsi="Times New Roman" w:cs="Times New Roman"/>
          <w:lang w:eastAsia="zh-TW" w:bidi="as-IN"/>
        </w:rPr>
        <w:t>.</w:t>
      </w:r>
      <w:r w:rsidR="00ED649A">
        <w:rPr>
          <w:rFonts w:ascii="Times New Roman" w:eastAsia="PMingLiU" w:hAnsi="Times New Roman" w:cs="Times New Roman"/>
          <w:lang w:eastAsia="zh-TW" w:bidi="as-IN"/>
        </w:rPr>
        <w:br w:type="page"/>
      </w:r>
    </w:p>
    <w:p w14:paraId="2DD4E24D" w14:textId="4062FC27" w:rsidR="00C861DA" w:rsidRDefault="00E95EE5" w:rsidP="000A5057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>Veoma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važna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činjenica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praćenje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jeste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4022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Vijeće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ministara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razmatra</w:t>
      </w:r>
      <w:r w:rsidR="008B7B0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usvojio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VM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2021.-2023.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zbog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čega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bilo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moguće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nastaviti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postupak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usvajanja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8B7B0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</w:t>
      </w:r>
      <w:r w:rsidR="000A50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sno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očitovalo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mišljenju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MFT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bilo</w:t>
      </w:r>
      <w:r w:rsidR="008B7B05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pribaviti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prije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donošenja</w:t>
      </w:r>
      <w:r w:rsidR="008B7B0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isto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tek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moguće</w:t>
      </w:r>
      <w:r w:rsidR="00C80900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dostaviti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usvajanju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VM</w:t>
      </w:r>
      <w:r w:rsidR="00EB08BF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C861DA" w:rsidRPr="00EB08B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5AFA75B8" w14:textId="4BCDA85D" w:rsidR="009F5F1F" w:rsidRPr="00C77FF0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jasno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navodi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sastavljen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mandata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više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čiji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ugrađeni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navesti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primjer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normativno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pravnih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oblasti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pravosuđa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uprave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zapaža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veliki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upućivanje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proceduru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bude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se</w:t>
      </w:r>
      <w:r w:rsidR="000A5057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samo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određeni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proceduru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 w:rsidR="00640226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Provođenje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praćenje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ograničeno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razloga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nakon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upućivanja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proceduru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pojedini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budu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vraćeni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obrađivaču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doradu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ponovno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formiranje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novih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proširivanje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postojećih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radnih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grupa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uključivanje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slično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postoji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odgovarajući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prevazilaženja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rizika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42664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Također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dešava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određen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broj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upućenih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propisa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zastane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proceduri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5582F433" w14:textId="6A1C69A1" w:rsidR="009F5F1F" w:rsidRPr="00C77FF0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određene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utvrditi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provedene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nadležnosti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potpuno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zavisi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postupanja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partnera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treće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strane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Pojedini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provedenim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nadležnosti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ali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provedeni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izmijenjenim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produženim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rokovima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primjer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Izgradnje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puštanja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funkciju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Državnog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zavoda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izvršenje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kaznenih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sankcija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pritvora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“.</w:t>
      </w:r>
    </w:p>
    <w:p w14:paraId="1BDF38FF" w14:textId="4CF3D5B1" w:rsidR="003B50D2" w:rsidRPr="00C77FF0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Prethodnom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evaluacijom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utvrđeno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oblasti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pravosuđa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sastoji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jednom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dijelu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ažuriranja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prepoznati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takvi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izvršena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korekcija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procesu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okrupnjavanja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“.</w:t>
      </w:r>
    </w:p>
    <w:p w14:paraId="5D9A5AC3" w14:textId="1E146A54" w:rsidR="009F5F1F" w:rsidRPr="00C77FF0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još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uvijek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razrađeni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lakoćom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identificirati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odnosu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mandata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Nastojanje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uspostavi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mapa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2B0F8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2B0F8D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odnosno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jednom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mjestu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pregled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obrazloženje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način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kalkulacije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gdje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odgovornost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izvor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verifikacije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zadržati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nastaviti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daljem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ciklusu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0598D9AA" w14:textId="340951F8" w:rsidR="009F5F1F" w:rsidRPr="00C77FF0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nastavku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posvetiti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pažnju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boljoj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identifikaciji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rizika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utvrđivanju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ublažavanje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utvrditi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planskim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dokumentima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postoje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ali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svom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začetku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</w:p>
    <w:p w14:paraId="53E2F4AC" w14:textId="4EB832C3" w:rsidR="006F0357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prethodnom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evaluacijom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dodatna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pažnja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posvećena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povećanju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stepena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usklađenosti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između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operativnog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pripadajućim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akcionim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planovima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izvještajima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međusobno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dokumenata</w:t>
      </w:r>
      <w:r w:rsidR="008B7B05"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jednog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7C1D1F8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nivoima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4D140E0" w14:textId="71DC5F26" w:rsidR="006F0357" w:rsidRDefault="00E95EE5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naglasiti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projekti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javnih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investicija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uglavnom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postavljenim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vanjskim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rokovima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6F035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realizuju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bez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zastoja</w:t>
      </w:r>
      <w:r w:rsidR="00397BB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9F26165" w14:textId="77777777" w:rsidR="00397BBB" w:rsidRPr="006F0357" w:rsidRDefault="00397BBB" w:rsidP="006D0DC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</w:p>
    <w:p w14:paraId="0D7B9FA5" w14:textId="77777777" w:rsidR="00C735C3" w:rsidRDefault="00C735C3">
      <w:pP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sectPr w:rsidR="00C735C3" w:rsidSect="00C735C3"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5DA7213" w14:textId="5DF2E8B8" w:rsidR="009F5F1F" w:rsidRPr="000F760C" w:rsidRDefault="00E95EE5" w:rsidP="000F760C">
      <w:pPr>
        <w:spacing w:after="12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>Tabela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2.</w:t>
      </w:r>
      <w:r w:rsidR="000F760C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Dijagram</w:t>
      </w:r>
      <w:r w:rsidR="009F5F1F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logičke</w:t>
      </w:r>
      <w:r w:rsidR="009F5F1F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mape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za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srednjoročni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1</w:t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268"/>
        <w:gridCol w:w="2127"/>
      </w:tblGrid>
      <w:tr w:rsidR="005D59D3" w:rsidRPr="005D59D3" w14:paraId="0ADF52C1" w14:textId="77777777" w:rsidTr="005D59D3">
        <w:tc>
          <w:tcPr>
            <w:tcW w:w="7400" w:type="dxa"/>
            <w:shd w:val="clear" w:color="auto" w:fill="44546A" w:themeFill="text2"/>
            <w:vAlign w:val="center"/>
          </w:tcPr>
          <w:p w14:paraId="4856FFE5" w14:textId="74029AB0" w:rsidR="009F5F1F" w:rsidRPr="005D59D3" w:rsidRDefault="00E95EE5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Projekti</w:t>
            </w:r>
          </w:p>
        </w:tc>
        <w:tc>
          <w:tcPr>
            <w:tcW w:w="2239" w:type="dxa"/>
            <w:shd w:val="clear" w:color="auto" w:fill="44546A" w:themeFill="text2"/>
            <w:vAlign w:val="center"/>
          </w:tcPr>
          <w:p w14:paraId="4CA3C87C" w14:textId="6BB63546" w:rsidR="009F5F1F" w:rsidRPr="005D59D3" w:rsidRDefault="00E95EE5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Programi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424F2426" w14:textId="0FD4825C" w:rsidR="009F5F1F" w:rsidRPr="005D59D3" w:rsidRDefault="00E95EE5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Posebni</w:t>
            </w:r>
            <w:r w:rsidR="009F5F1F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ciljevi</w:t>
            </w:r>
          </w:p>
        </w:tc>
        <w:tc>
          <w:tcPr>
            <w:tcW w:w="2127" w:type="dxa"/>
            <w:shd w:val="clear" w:color="auto" w:fill="44546A" w:themeFill="text2"/>
            <w:vAlign w:val="center"/>
          </w:tcPr>
          <w:p w14:paraId="712A9D3E" w14:textId="2DC10280" w:rsidR="009F5F1F" w:rsidRPr="005D59D3" w:rsidRDefault="00E95EE5" w:rsidP="009F5F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Srednjoročni</w:t>
            </w:r>
            <w:r w:rsidR="009F5F1F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cilj</w:t>
            </w:r>
            <w:r w:rsidR="000F760C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1</w:t>
            </w:r>
          </w:p>
        </w:tc>
      </w:tr>
      <w:tr w:rsidR="00B2671B" w:rsidRPr="005D59D3" w14:paraId="72A0E331" w14:textId="77777777" w:rsidTr="00B2671B">
        <w:trPr>
          <w:trHeight w:val="1912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34767A13" w14:textId="2B3AB55B" w:rsidR="00B2671B" w:rsidRPr="005D59D3" w:rsidRDefault="00B2671B" w:rsidP="00B2671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Stvaranje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pretpostavki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aktivniji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angažman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civilnog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društva</w:t>
            </w:r>
          </w:p>
          <w:p w14:paraId="4035FB13" w14:textId="0897A3BB" w:rsidR="00B2671B" w:rsidRPr="00F73A7D" w:rsidRDefault="00B2671B" w:rsidP="00B2671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14.2.1.2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zakonodavnog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kapaciteta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vođenja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upravnog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postupka</w:t>
            </w:r>
          </w:p>
          <w:p w14:paraId="71EDEF60" w14:textId="1498F02B" w:rsidR="00B2671B" w:rsidRPr="00F73A7D" w:rsidRDefault="00B2671B" w:rsidP="00B2671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14.2.1.3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Efikasno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inspekcijskog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nadzora</w:t>
            </w:r>
          </w:p>
          <w:p w14:paraId="72155927" w14:textId="756CB615" w:rsidR="00B2671B" w:rsidRDefault="00B2671B" w:rsidP="00B2671B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14.2.1.4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strateškog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reforme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javne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0F760C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poslova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EU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integracija</w:t>
            </w:r>
          </w:p>
          <w:p w14:paraId="380A1937" w14:textId="387115A2" w:rsidR="00B2671B" w:rsidRPr="00F73A7D" w:rsidRDefault="00B2671B" w:rsidP="00B2671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14.2.1.5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donatorske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pomoći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sektoru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</w:p>
          <w:p w14:paraId="76762A1E" w14:textId="7E3077D1" w:rsidR="00B2671B" w:rsidRPr="00F73A7D" w:rsidRDefault="00B2671B" w:rsidP="00B2671B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14.2.1.6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poslova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međunarodnim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institucijama</w:t>
            </w:r>
          </w:p>
          <w:p w14:paraId="2E3ACA9E" w14:textId="305D3E0C" w:rsidR="00B2671B" w:rsidRPr="005D59D3" w:rsidRDefault="00B2671B" w:rsidP="00B2671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14.2.1.7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Unapređenje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upravljanja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registracijom</w:t>
            </w:r>
            <w:r w:rsidRPr="00F73A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zaloga</w:t>
            </w:r>
          </w:p>
        </w:tc>
        <w:tc>
          <w:tcPr>
            <w:tcW w:w="2239" w:type="dxa"/>
            <w:vAlign w:val="center"/>
          </w:tcPr>
          <w:p w14:paraId="207BE3D8" w14:textId="31F37064" w:rsidR="00B2671B" w:rsidRPr="005D59D3" w:rsidRDefault="00E95EE5" w:rsidP="00B267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Javna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uprava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saradnja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civilnim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društvom</w:t>
            </w:r>
          </w:p>
        </w:tc>
        <w:tc>
          <w:tcPr>
            <w:tcW w:w="2268" w:type="dxa"/>
            <w:vAlign w:val="center"/>
          </w:tcPr>
          <w:p w14:paraId="4BE0A425" w14:textId="12FAD2E2" w:rsidR="00B2671B" w:rsidRPr="00B2671B" w:rsidRDefault="00E95EE5" w:rsidP="00B267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Stvoriti</w:t>
            </w:r>
            <w:r w:rsidR="00B2671B" w:rsidRPr="00B267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pretpostavke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za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aktivnije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učešće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civilnog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društva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unaprijediti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sistem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uprave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upravne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inspekcije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uspješno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B401A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koordinirati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sektor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pravde</w:t>
            </w:r>
          </w:p>
        </w:tc>
        <w:tc>
          <w:tcPr>
            <w:tcW w:w="2127" w:type="dxa"/>
            <w:vAlign w:val="center"/>
          </w:tcPr>
          <w:p w14:paraId="0405EEA5" w14:textId="33196B90" w:rsidR="00B2671B" w:rsidRPr="00B2671B" w:rsidRDefault="00E95EE5" w:rsidP="00B2671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Izgradnja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kapaciteta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za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kreiranje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politika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proces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europskih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integracija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i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reforme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javne</w:t>
            </w:r>
            <w:r w:rsidR="00B2671B" w:rsidRPr="00B2671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uprave</w:t>
            </w:r>
          </w:p>
        </w:tc>
      </w:tr>
    </w:tbl>
    <w:p w14:paraId="2138B1EF" w14:textId="10FEB83C" w:rsidR="000F760C" w:rsidRPr="000F760C" w:rsidRDefault="00E95EE5" w:rsidP="000F760C">
      <w:pPr>
        <w:spacing w:before="360" w:after="12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Tabela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 w:rsidR="008810B2">
        <w:rPr>
          <w:rFonts w:ascii="Times New Roman" w:eastAsia="PMingLiU" w:hAnsi="Times New Roman" w:cs="Times New Roman"/>
          <w:b/>
          <w:sz w:val="24"/>
          <w:szCs w:val="24"/>
          <w:lang w:val="sr-Cyrl-BA" w:eastAsia="zh-TW" w:bidi="as-IN"/>
        </w:rPr>
        <w:t>3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.</w:t>
      </w:r>
      <w:r w:rsidR="000F760C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Dijagram</w:t>
      </w:r>
      <w:r w:rsidR="000F760C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logičke</w:t>
      </w:r>
      <w:r w:rsidR="000F760C" w:rsidRP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mape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za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srednjoročni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</w:t>
      </w:r>
      <w:r w:rsidR="000F760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</w:t>
      </w:r>
    </w:p>
    <w:tbl>
      <w:tblPr>
        <w:tblStyle w:val="TableGrid1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0"/>
        <w:gridCol w:w="2239"/>
        <w:gridCol w:w="2268"/>
        <w:gridCol w:w="2127"/>
      </w:tblGrid>
      <w:tr w:rsidR="00B2671B" w:rsidRPr="005D59D3" w14:paraId="1649C49A" w14:textId="77777777" w:rsidTr="00562998">
        <w:tc>
          <w:tcPr>
            <w:tcW w:w="7400" w:type="dxa"/>
            <w:shd w:val="clear" w:color="auto" w:fill="44546A" w:themeFill="text2"/>
            <w:vAlign w:val="center"/>
          </w:tcPr>
          <w:p w14:paraId="170EDD4B" w14:textId="0120640A" w:rsidR="00B2671B" w:rsidRPr="005D59D3" w:rsidRDefault="009F5F1F" w:rsidP="0056299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 w:rsidRPr="00C77F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 w:type="page"/>
            </w:r>
            <w:r w:rsidR="00E95EE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Projekti</w:t>
            </w:r>
          </w:p>
        </w:tc>
        <w:tc>
          <w:tcPr>
            <w:tcW w:w="2239" w:type="dxa"/>
            <w:shd w:val="clear" w:color="auto" w:fill="44546A" w:themeFill="text2"/>
            <w:vAlign w:val="center"/>
          </w:tcPr>
          <w:p w14:paraId="304C33F4" w14:textId="280C46BE" w:rsidR="00B2671B" w:rsidRPr="005D59D3" w:rsidRDefault="00E95EE5" w:rsidP="0056299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Programi</w:t>
            </w:r>
          </w:p>
        </w:tc>
        <w:tc>
          <w:tcPr>
            <w:tcW w:w="2268" w:type="dxa"/>
            <w:shd w:val="clear" w:color="auto" w:fill="44546A" w:themeFill="text2"/>
            <w:vAlign w:val="center"/>
          </w:tcPr>
          <w:p w14:paraId="7671E9D5" w14:textId="3523A689" w:rsidR="00B2671B" w:rsidRPr="005D59D3" w:rsidRDefault="00E95EE5" w:rsidP="0056299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Posebni</w:t>
            </w:r>
            <w:r w:rsidR="00B2671B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ciljevi</w:t>
            </w:r>
          </w:p>
        </w:tc>
        <w:tc>
          <w:tcPr>
            <w:tcW w:w="2127" w:type="dxa"/>
            <w:shd w:val="clear" w:color="auto" w:fill="44546A" w:themeFill="text2"/>
            <w:vAlign w:val="center"/>
          </w:tcPr>
          <w:p w14:paraId="0B249A8D" w14:textId="575A3C82" w:rsidR="00B2671B" w:rsidRPr="005D59D3" w:rsidRDefault="00E95EE5" w:rsidP="0056299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Srednjoročni</w:t>
            </w:r>
            <w:r w:rsidR="00B2671B" w:rsidRPr="005D59D3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cilj</w:t>
            </w:r>
            <w:r w:rsidR="000F760C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2</w:t>
            </w:r>
          </w:p>
        </w:tc>
      </w:tr>
      <w:tr w:rsidR="000F760C" w:rsidRPr="005D59D3" w14:paraId="5D0544C4" w14:textId="77777777" w:rsidTr="000F760C">
        <w:trPr>
          <w:trHeight w:val="1409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27081652" w14:textId="679FDD18" w:rsidR="000F760C" w:rsidRDefault="000F760C" w:rsidP="00562998">
            <w:pPr>
              <w:ind w:left="1"/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14.6.1.1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Izrada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upućivanje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proceduru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usvajanja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propisa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iz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oblasti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pravosuđa</w:t>
            </w:r>
          </w:p>
          <w:p w14:paraId="7C4D217A" w14:textId="15048B56" w:rsidR="000F760C" w:rsidRDefault="000F760C" w:rsidP="00562998">
            <w:pPr>
              <w:ind w:left="1"/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14.6.1.2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Efikasno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praćenje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983EEA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provođenja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propisa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strateških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dokumenata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iz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oblasti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pravosuđa</w:t>
            </w:r>
          </w:p>
          <w:p w14:paraId="360A2F6B" w14:textId="206AF5A2" w:rsidR="000F760C" w:rsidRDefault="000F760C" w:rsidP="000F76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14.6.1.3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Efikasna</w:t>
            </w: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</w:t>
            </w:r>
            <w:r w:rsidR="00E95EE5">
              <w:rPr>
                <w:rFonts w:ascii="Times New Roman" w:hAnsi="Times New Roman" w:cs="Times New Roman"/>
                <w:noProof/>
                <w:sz w:val="18"/>
                <w:szCs w:val="18"/>
              </w:rPr>
              <w:t>ravosudna</w:t>
            </w:r>
            <w:r w:rsidRPr="00631C5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noProof/>
                <w:sz w:val="18"/>
                <w:szCs w:val="18"/>
              </w:rPr>
              <w:t>uprava</w:t>
            </w:r>
          </w:p>
          <w:p w14:paraId="3FC9FD81" w14:textId="271F89D6" w:rsidR="000F760C" w:rsidRDefault="000F760C" w:rsidP="000F760C">
            <w:pPr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</w:pPr>
            <w:r w:rsidRPr="00631C51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14.6.1.4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Međunarodna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insitucionalna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pravosudna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saradnja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i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usklađivanje</w:t>
            </w:r>
            <w:r w:rsidRPr="00631C51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Cs/>
                <w:iCs/>
                <w:noProof/>
                <w:sz w:val="18"/>
                <w:szCs w:val="18"/>
              </w:rPr>
              <w:t>zakonodavstva</w:t>
            </w:r>
          </w:p>
          <w:p w14:paraId="430F0B57" w14:textId="70C14A01" w:rsidR="000F760C" w:rsidRPr="005D59D3" w:rsidRDefault="00E95EE5" w:rsidP="000F760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Program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javnih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investicija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 -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Rekonstrukcija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objekata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i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nadogradnja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sprata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za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smještaj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Tužilaštva</w:t>
            </w:r>
            <w:r w:rsidR="000F760C"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18"/>
                <w:szCs w:val="18"/>
              </w:rPr>
              <w:t>BiH</w:t>
            </w:r>
          </w:p>
        </w:tc>
        <w:tc>
          <w:tcPr>
            <w:tcW w:w="2239" w:type="dxa"/>
            <w:vAlign w:val="center"/>
          </w:tcPr>
          <w:p w14:paraId="3332DB67" w14:textId="701D56DA" w:rsidR="000F760C" w:rsidRPr="005D59D3" w:rsidRDefault="00E95EE5" w:rsidP="00562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Normativno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pravna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djelatnost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,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provođenje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praćenje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propisa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iz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oblasti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pravosuđa</w:t>
            </w:r>
          </w:p>
        </w:tc>
        <w:tc>
          <w:tcPr>
            <w:tcW w:w="2268" w:type="dxa"/>
            <w:vAlign w:val="center"/>
          </w:tcPr>
          <w:p w14:paraId="4117CD3E" w14:textId="6B66D9C0" w:rsidR="000F760C" w:rsidRPr="000F760C" w:rsidRDefault="00640226" w:rsidP="00562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stabilnu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pravosudnu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upravu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ojačati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pravosudnu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saradnju</w:t>
            </w:r>
          </w:p>
        </w:tc>
        <w:tc>
          <w:tcPr>
            <w:tcW w:w="2127" w:type="dxa"/>
            <w:vMerge w:val="restart"/>
            <w:vAlign w:val="center"/>
          </w:tcPr>
          <w:p w14:paraId="4929A0A9" w14:textId="2CA77E5C" w:rsidR="000F760C" w:rsidRPr="00B2671B" w:rsidRDefault="00E95EE5" w:rsidP="0056299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Unapređenje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efikasnosti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odgovornosti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kvalitete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nezavisnosti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sektora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  <w:t>pravde</w:t>
            </w:r>
          </w:p>
        </w:tc>
      </w:tr>
      <w:tr w:rsidR="000F760C" w:rsidRPr="005D59D3" w14:paraId="3649B305" w14:textId="77777777" w:rsidTr="000F760C">
        <w:trPr>
          <w:trHeight w:val="757"/>
        </w:trPr>
        <w:tc>
          <w:tcPr>
            <w:tcW w:w="7400" w:type="dxa"/>
            <w:shd w:val="clear" w:color="auto" w:fill="FFF2CC" w:themeFill="accent4" w:themeFillTint="33"/>
            <w:vAlign w:val="center"/>
          </w:tcPr>
          <w:p w14:paraId="2E2BF715" w14:textId="4FE4C32F" w:rsidR="000F760C" w:rsidRDefault="000F760C" w:rsidP="000F760C">
            <w:pPr>
              <w:ind w:left="1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14.6.2.1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Rukovođenje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sistemom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izvršenje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kriv</w:t>
            </w:r>
            <w:r w:rsidR="008810B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        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ičnih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sankcija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</w:p>
          <w:p w14:paraId="67B2BF56" w14:textId="47CFFBB7" w:rsidR="000F760C" w:rsidRDefault="000F760C" w:rsidP="000F760C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14.6.2.2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Razvoj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praćenje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primjene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alternativnih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sankcija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BiH</w:t>
            </w:r>
          </w:p>
          <w:p w14:paraId="4F6336DC" w14:textId="21DB36EF" w:rsidR="000F760C" w:rsidRPr="005D59D3" w:rsidRDefault="000F760C" w:rsidP="000F760C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14.6.2.3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Unapređenje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primjene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međunarodnih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standarda</w:t>
            </w:r>
          </w:p>
        </w:tc>
        <w:tc>
          <w:tcPr>
            <w:tcW w:w="2239" w:type="dxa"/>
            <w:vAlign w:val="center"/>
          </w:tcPr>
          <w:p w14:paraId="2C3C6FFD" w14:textId="2FF78A99" w:rsidR="000F760C" w:rsidRPr="000F760C" w:rsidRDefault="00E95EE5" w:rsidP="000F76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Normativno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pravna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djelatnost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,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provođenje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praćenje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propisa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iz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oblasti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sistema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izvršenja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 w:rsidR="00632CC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kaznenih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sankcija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inspekcijski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nadrzor</w:t>
            </w:r>
          </w:p>
        </w:tc>
        <w:tc>
          <w:tcPr>
            <w:tcW w:w="2268" w:type="dxa"/>
            <w:vAlign w:val="center"/>
          </w:tcPr>
          <w:p w14:paraId="25A0FD20" w14:textId="617F4C3C" w:rsidR="000F760C" w:rsidRPr="000F760C" w:rsidRDefault="00640226" w:rsidP="000F76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human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zakonit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tretman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te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efiksnu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resocijalizaciju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zatvorenika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pritvorenika</w:t>
            </w:r>
          </w:p>
        </w:tc>
        <w:tc>
          <w:tcPr>
            <w:tcW w:w="2127" w:type="dxa"/>
            <w:vMerge/>
            <w:vAlign w:val="center"/>
          </w:tcPr>
          <w:p w14:paraId="2C1B81A7" w14:textId="77777777" w:rsidR="000F760C" w:rsidRPr="000F760C" w:rsidRDefault="000F760C" w:rsidP="000F76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0F760C" w:rsidRPr="005D59D3" w14:paraId="2033F431" w14:textId="77777777" w:rsidTr="000F760C">
        <w:trPr>
          <w:trHeight w:val="685"/>
        </w:trPr>
        <w:tc>
          <w:tcPr>
            <w:tcW w:w="740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58801" w14:textId="1DF03E9F" w:rsidR="000F760C" w:rsidRPr="005D59D3" w:rsidRDefault="000F760C" w:rsidP="000F760C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14.6.3.1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Pružanje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međunarodne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međuentitetske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institucionalne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saradnje</w:t>
            </w:r>
          </w:p>
          <w:p w14:paraId="061F6941" w14:textId="495EBB0C" w:rsidR="000F760C" w:rsidRPr="005D59D3" w:rsidRDefault="000F760C" w:rsidP="000F760C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14.6.3.2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Pristupanje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konvencijama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zaključivanje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7E15A2C0" w14:textId="76EC2BD6" w:rsidR="000F760C" w:rsidRPr="000F760C" w:rsidRDefault="00E95EE5" w:rsidP="000F76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Sistem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međunarodne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pravne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pomoći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s-Latn-BA"/>
              </w:rPr>
              <w:t>saradnje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F118C2C" w14:textId="483CF496" w:rsidR="000F760C" w:rsidRPr="000F760C" w:rsidRDefault="00640226" w:rsidP="000F76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pružanje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međunarodne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pravne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pomoći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0F760C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saradnje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7F3B4787" w14:textId="77777777" w:rsidR="000F760C" w:rsidRPr="000F760C" w:rsidRDefault="000F760C" w:rsidP="000F760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042BAFE1" w14:textId="77777777" w:rsidR="00B2671B" w:rsidRDefault="00B2671B">
      <w:pPr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bCs/>
          <w:i/>
          <w:iCs/>
          <w:sz w:val="24"/>
          <w:szCs w:val="24"/>
          <w:lang w:eastAsia="zh-TW" w:bidi="as-IN"/>
        </w:rPr>
        <w:br w:type="page"/>
      </w:r>
    </w:p>
    <w:p w14:paraId="1B07076F" w14:textId="2D01B11F" w:rsidR="009F5F1F" w:rsidRPr="00FF62BE" w:rsidRDefault="00E95EE5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lastRenderedPageBreak/>
        <w:t>Tabela</w:t>
      </w:r>
      <w:r w:rsidR="000F760C" w:rsidRP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3.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>Pokazatelji</w:t>
      </w:r>
      <w:r w:rsid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>uspjeha</w:t>
      </w:r>
      <w:r w:rsid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>za</w:t>
      </w:r>
      <w:r w:rsid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>Srednjoročni</w:t>
      </w:r>
      <w:r w:rsidR="009F5F1F" w:rsidRP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>cilj</w:t>
      </w:r>
      <w:r w:rsidR="009F5F1F" w:rsidRPr="00FF62BE">
        <w:rPr>
          <w:rFonts w:ascii="Times New Roman" w:eastAsia="PMingLiU" w:hAnsi="Times New Roman" w:cs="Times New Roman"/>
          <w:b/>
          <w:bCs/>
          <w:sz w:val="24"/>
          <w:szCs w:val="24"/>
          <w:lang w:eastAsia="zh-TW" w:bidi="as-IN"/>
        </w:rPr>
        <w:t xml:space="preserve"> 1:</w:t>
      </w:r>
    </w:p>
    <w:tbl>
      <w:tblPr>
        <w:tblStyle w:val="TableGrid0"/>
        <w:tblW w:w="4945" w:type="pc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1909"/>
        <w:gridCol w:w="5964"/>
        <w:gridCol w:w="2228"/>
        <w:gridCol w:w="2013"/>
        <w:gridCol w:w="2005"/>
      </w:tblGrid>
      <w:tr w:rsidR="00B04DDA" w:rsidRPr="005D59D3" w14:paraId="384A66AA" w14:textId="77777777" w:rsidTr="00B0090F">
        <w:trPr>
          <w:trHeight w:val="397"/>
        </w:trPr>
        <w:tc>
          <w:tcPr>
            <w:tcW w:w="2788" w:type="pct"/>
            <w:gridSpan w:val="2"/>
            <w:shd w:val="clear" w:color="auto" w:fill="44546A" w:themeFill="text2"/>
            <w:vAlign w:val="center"/>
          </w:tcPr>
          <w:p w14:paraId="77B4E5BE" w14:textId="49755301" w:rsidR="00D10548" w:rsidRPr="005D59D3" w:rsidRDefault="00E95EE5" w:rsidP="005D59D3">
            <w:pPr>
              <w:snapToGri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>Srednjoročni</w:t>
            </w:r>
            <w:r w:rsidR="00D10548" w:rsidRPr="005D59D3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>cilj</w:t>
            </w:r>
            <w:r w:rsidR="00D10548" w:rsidRPr="00C465E2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Izgradnja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kapaciteta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za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kreiranje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politika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proces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europskih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integracija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i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reforme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javne</w:t>
            </w:r>
            <w:r w:rsidR="00D10548" w:rsidRPr="00C465E2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  <w:sz w:val="20"/>
                <w:szCs w:val="20"/>
                <w:lang w:val="bs-Latn-BA"/>
              </w:rPr>
              <w:t>uprave</w:t>
            </w:r>
          </w:p>
        </w:tc>
        <w:tc>
          <w:tcPr>
            <w:tcW w:w="789" w:type="pct"/>
            <w:shd w:val="clear" w:color="auto" w:fill="44546A" w:themeFill="text2"/>
            <w:vAlign w:val="center"/>
          </w:tcPr>
          <w:p w14:paraId="71DEA19B" w14:textId="2999D1D3" w:rsidR="00D10548" w:rsidRPr="005D59D3" w:rsidRDefault="00E95EE5" w:rsidP="005D59D3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Početna</w:t>
            </w:r>
            <w:r w:rsidR="00D10548"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04EAB39E" w14:textId="1661457C" w:rsidR="00D10548" w:rsidRPr="005D59D3" w:rsidRDefault="00D10548" w:rsidP="00C465E2">
            <w:pPr>
              <w:snapToGrid w:val="0"/>
              <w:ind w:left="1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8</w:t>
            </w: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713" w:type="pct"/>
            <w:shd w:val="clear" w:color="auto" w:fill="44546A" w:themeFill="text2"/>
            <w:vAlign w:val="center"/>
          </w:tcPr>
          <w:p w14:paraId="3AF97510" w14:textId="3929E6FA" w:rsidR="00D10548" w:rsidRPr="005D59D3" w:rsidRDefault="00E95EE5" w:rsidP="005D59D3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Očekivana</w:t>
            </w:r>
            <w:r w:rsidR="00D10548"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0F0CB74A" w14:textId="67918AEC" w:rsidR="00D10548" w:rsidRPr="005D59D3" w:rsidRDefault="00D10548" w:rsidP="005D59D3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21</w:t>
            </w: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Pr="005D59D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710" w:type="pct"/>
            <w:shd w:val="clear" w:color="auto" w:fill="44546A" w:themeFill="text2"/>
          </w:tcPr>
          <w:p w14:paraId="75E04881" w14:textId="0CAD78DB" w:rsidR="00D10548" w:rsidRPr="005D59D3" w:rsidRDefault="00E95EE5" w:rsidP="00017087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Ostvarena</w:t>
            </w:r>
            <w:r w:rsidR="0001708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vrijednost</w:t>
            </w:r>
            <w:r w:rsidR="00D10548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01708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(</w:t>
            </w:r>
            <w:r w:rsidR="00D10548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2021.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="0001708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B04DDA" w:rsidRPr="005D59D3" w14:paraId="0AD5B6F2" w14:textId="77777777" w:rsidTr="00B0090F">
        <w:trPr>
          <w:trHeight w:val="272"/>
        </w:trPr>
        <w:tc>
          <w:tcPr>
            <w:tcW w:w="676" w:type="pct"/>
            <w:vAlign w:val="center"/>
          </w:tcPr>
          <w:p w14:paraId="19514D85" w14:textId="28F9AAC7" w:rsidR="00D10548" w:rsidRPr="005D59D3" w:rsidRDefault="00E95EE5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D10548"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112" w:type="pct"/>
            <w:vAlign w:val="center"/>
          </w:tcPr>
          <w:p w14:paraId="5F179EE9" w14:textId="4F21AE70" w:rsidR="00D10548" w:rsidRPr="005D59D3" w:rsidRDefault="00D10548" w:rsidP="00976935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1.1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Indeks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vladavine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ograničenja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državnih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ovlaštenja</w:t>
            </w:r>
            <w:r w:rsidRPr="005D59D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odsutnosti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korupcije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otvorene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vlasti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</w:p>
        </w:tc>
        <w:tc>
          <w:tcPr>
            <w:tcW w:w="789" w:type="pct"/>
            <w:vAlign w:val="center"/>
          </w:tcPr>
          <w:p w14:paraId="2838484F" w14:textId="77777777" w:rsidR="00D10548" w:rsidRPr="005D59D3" w:rsidRDefault="00D10548" w:rsidP="009F5F1F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0,47</w:t>
            </w:r>
          </w:p>
        </w:tc>
        <w:tc>
          <w:tcPr>
            <w:tcW w:w="713" w:type="pct"/>
            <w:vAlign w:val="center"/>
          </w:tcPr>
          <w:p w14:paraId="123AB540" w14:textId="77777777" w:rsidR="00D10548" w:rsidRPr="005D59D3" w:rsidRDefault="00D10548" w:rsidP="009F5F1F">
            <w:pPr>
              <w:snapToGrid w:val="0"/>
              <w:ind w:right="102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0,67</w:t>
            </w:r>
          </w:p>
        </w:tc>
        <w:tc>
          <w:tcPr>
            <w:tcW w:w="710" w:type="pct"/>
            <w:vAlign w:val="center"/>
          </w:tcPr>
          <w:p w14:paraId="754FA0B8" w14:textId="2346B935" w:rsidR="00D10548" w:rsidRDefault="00976935" w:rsidP="00B0090F">
            <w:pPr>
              <w:snapToGrid w:val="0"/>
              <w:ind w:right="10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0.46</w:t>
            </w:r>
            <w:r w:rsidR="00017087">
              <w:rPr>
                <w:rStyle w:val="FootnoteReference"/>
                <w:rFonts w:ascii="Times New Roman" w:hAnsi="Times New Roman" w:cs="Times New Roman"/>
                <w:bCs/>
                <w:sz w:val="18"/>
                <w:szCs w:val="18"/>
              </w:rPr>
              <w:footnoteReference w:id="42"/>
            </w:r>
          </w:p>
        </w:tc>
      </w:tr>
      <w:tr w:rsidR="00B0090F" w:rsidRPr="005D59D3" w14:paraId="574D5EE2" w14:textId="77777777" w:rsidTr="00B0090F">
        <w:trPr>
          <w:trHeight w:val="20"/>
        </w:trPr>
        <w:tc>
          <w:tcPr>
            <w:tcW w:w="676" w:type="pct"/>
            <w:vAlign w:val="center"/>
          </w:tcPr>
          <w:p w14:paraId="43D81E62" w14:textId="21EF0D7A" w:rsidR="00B0090F" w:rsidRPr="005D59D3" w:rsidRDefault="00E95EE5" w:rsidP="009F5F1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cilj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1</w:t>
            </w:r>
          </w:p>
        </w:tc>
        <w:tc>
          <w:tcPr>
            <w:tcW w:w="4324" w:type="pct"/>
            <w:gridSpan w:val="4"/>
            <w:vAlign w:val="center"/>
          </w:tcPr>
          <w:p w14:paraId="3CE5CF45" w14:textId="0D86DB99" w:rsidR="00B0090F" w:rsidRPr="00ED649A" w:rsidRDefault="00E95EE5" w:rsidP="00B0090F">
            <w:pPr>
              <w:snapToGrid w:val="0"/>
              <w:ind w:left="1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Stvoriti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pretpostavke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za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aktivnije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učešće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civilnog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društva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unaprijediti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sistem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uprave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upravne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inspekcije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i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uspješno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B401A1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koordinirati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sektor</w:t>
            </w:r>
            <w:r w:rsidR="00B0090F" w:rsidRPr="00ED649A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pravde</w:t>
            </w:r>
          </w:p>
        </w:tc>
      </w:tr>
      <w:tr w:rsidR="00B04DDA" w:rsidRPr="005D59D3" w14:paraId="24A7FFA1" w14:textId="77777777" w:rsidTr="00B0090F">
        <w:trPr>
          <w:trHeight w:val="147"/>
        </w:trPr>
        <w:tc>
          <w:tcPr>
            <w:tcW w:w="676" w:type="pct"/>
            <w:vMerge w:val="restart"/>
            <w:vAlign w:val="center"/>
          </w:tcPr>
          <w:p w14:paraId="4E3DF59E" w14:textId="70F6C4D8" w:rsidR="00D10548" w:rsidRPr="004A61C3" w:rsidRDefault="00E95EE5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D10548" w:rsidRPr="004A61C3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112" w:type="pct"/>
            <w:vAlign w:val="center"/>
          </w:tcPr>
          <w:p w14:paraId="3A048F5B" w14:textId="525FB69A" w:rsidR="00D10548" w:rsidRPr="00C465E2" w:rsidRDefault="00E95EE5" w:rsidP="00C465E2">
            <w:pPr>
              <w:pStyle w:val="ListParagraph"/>
              <w:numPr>
                <w:ilvl w:val="0"/>
                <w:numId w:val="28"/>
              </w:numPr>
              <w:snapToGrid w:val="0"/>
              <w:ind w:right="104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Nivo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do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kog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su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uspostavljeni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institucionalni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mehanizmi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za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saradnju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sa</w:t>
            </w:r>
            <w:r w:rsidR="00D10548" w:rsidRPr="00C465E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OCD</w:t>
            </w:r>
          </w:p>
        </w:tc>
        <w:tc>
          <w:tcPr>
            <w:tcW w:w="789" w:type="pct"/>
            <w:vAlign w:val="center"/>
          </w:tcPr>
          <w:p w14:paraId="5BFC718B" w14:textId="77777777" w:rsidR="00D10548" w:rsidRPr="005D59D3" w:rsidRDefault="00D10548" w:rsidP="009F5F1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</w:t>
            </w: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713" w:type="pct"/>
            <w:vAlign w:val="center"/>
          </w:tcPr>
          <w:p w14:paraId="7E9CD961" w14:textId="77777777" w:rsidR="00D10548" w:rsidRPr="005D59D3" w:rsidRDefault="00D10548" w:rsidP="00C465E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</w:t>
            </w: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710" w:type="pct"/>
          </w:tcPr>
          <w:p w14:paraId="624C500D" w14:textId="77777777" w:rsidR="00D10548" w:rsidRPr="005D59D3" w:rsidRDefault="00976935" w:rsidP="00C465E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100%</w:t>
            </w:r>
          </w:p>
        </w:tc>
      </w:tr>
      <w:tr w:rsidR="00B04DDA" w:rsidRPr="005D59D3" w14:paraId="7C2BDA97" w14:textId="77777777" w:rsidTr="00B0090F">
        <w:trPr>
          <w:trHeight w:val="252"/>
        </w:trPr>
        <w:tc>
          <w:tcPr>
            <w:tcW w:w="676" w:type="pct"/>
            <w:vMerge/>
            <w:vAlign w:val="center"/>
          </w:tcPr>
          <w:p w14:paraId="5C069575" w14:textId="77777777" w:rsidR="00D10548" w:rsidRPr="005D59D3" w:rsidRDefault="00D10548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112" w:type="pct"/>
            <w:vAlign w:val="center"/>
          </w:tcPr>
          <w:p w14:paraId="03A09EC5" w14:textId="094BBD5B" w:rsidR="00D10548" w:rsidRPr="00C465E2" w:rsidRDefault="00E95EE5" w:rsidP="00C465E2">
            <w:pPr>
              <w:pStyle w:val="ListParagraph"/>
              <w:numPr>
                <w:ilvl w:val="0"/>
                <w:numId w:val="28"/>
              </w:numPr>
              <w:snapToGrid w:val="0"/>
              <w:ind w:right="104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izrađenih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normativno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pravnih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nadležnosti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odnosu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  <w:r w:rsidR="00D1054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planiranih</w:t>
            </w:r>
          </w:p>
        </w:tc>
        <w:tc>
          <w:tcPr>
            <w:tcW w:w="789" w:type="pct"/>
            <w:vAlign w:val="center"/>
          </w:tcPr>
          <w:p w14:paraId="43F7A94F" w14:textId="77777777" w:rsidR="00D10548" w:rsidRPr="005D59D3" w:rsidRDefault="00D10548" w:rsidP="00C465E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83</w:t>
            </w: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713" w:type="pct"/>
            <w:vAlign w:val="center"/>
          </w:tcPr>
          <w:p w14:paraId="0F2708F4" w14:textId="77777777" w:rsidR="00D10548" w:rsidRPr="005D59D3" w:rsidRDefault="00D10548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95</w:t>
            </w:r>
            <w:r w:rsidRPr="005D59D3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710" w:type="pct"/>
          </w:tcPr>
          <w:p w14:paraId="678F3688" w14:textId="77777777" w:rsidR="00D10548" w:rsidRDefault="00976935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71,40%</w:t>
            </w:r>
          </w:p>
        </w:tc>
      </w:tr>
      <w:tr w:rsidR="00B04DDA" w:rsidRPr="005D59D3" w14:paraId="25CEF22E" w14:textId="77777777" w:rsidTr="00B0090F">
        <w:trPr>
          <w:trHeight w:val="76"/>
        </w:trPr>
        <w:tc>
          <w:tcPr>
            <w:tcW w:w="676" w:type="pct"/>
            <w:vMerge/>
            <w:vAlign w:val="center"/>
          </w:tcPr>
          <w:p w14:paraId="396DD53B" w14:textId="77777777" w:rsidR="00D10548" w:rsidRPr="005D59D3" w:rsidRDefault="00D10548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2" w:type="pct"/>
            <w:vAlign w:val="center"/>
          </w:tcPr>
          <w:p w14:paraId="459A145F" w14:textId="09A717E8" w:rsidR="00D10548" w:rsidRPr="00C465E2" w:rsidRDefault="00E95EE5" w:rsidP="00C465E2">
            <w:pPr>
              <w:pStyle w:val="ListParagraph"/>
              <w:numPr>
                <w:ilvl w:val="0"/>
                <w:numId w:val="28"/>
              </w:numPr>
              <w:snapToGrid w:val="0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Postotak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predmeta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upravnog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rješavanja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inspekcijskog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nadzora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rješenih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roku</w:t>
            </w:r>
          </w:p>
        </w:tc>
        <w:tc>
          <w:tcPr>
            <w:tcW w:w="789" w:type="pct"/>
            <w:vAlign w:val="center"/>
          </w:tcPr>
          <w:p w14:paraId="430C557B" w14:textId="77777777" w:rsidR="00D10548" w:rsidRPr="005D59D3" w:rsidRDefault="00D10548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72%</w:t>
            </w:r>
          </w:p>
        </w:tc>
        <w:tc>
          <w:tcPr>
            <w:tcW w:w="713" w:type="pct"/>
            <w:vAlign w:val="center"/>
          </w:tcPr>
          <w:p w14:paraId="4B3828C6" w14:textId="77777777" w:rsidR="00D10548" w:rsidRPr="005D59D3" w:rsidRDefault="00D10548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85%</w:t>
            </w:r>
          </w:p>
        </w:tc>
        <w:tc>
          <w:tcPr>
            <w:tcW w:w="710" w:type="pct"/>
          </w:tcPr>
          <w:p w14:paraId="44810CA5" w14:textId="77777777" w:rsidR="00D10548" w:rsidRDefault="00976935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86%</w:t>
            </w:r>
          </w:p>
        </w:tc>
      </w:tr>
      <w:tr w:rsidR="00B04DDA" w:rsidRPr="005D59D3" w14:paraId="555AF7B8" w14:textId="77777777" w:rsidTr="00B0090F">
        <w:trPr>
          <w:trHeight w:val="199"/>
        </w:trPr>
        <w:tc>
          <w:tcPr>
            <w:tcW w:w="676" w:type="pct"/>
            <w:vMerge/>
            <w:vAlign w:val="center"/>
          </w:tcPr>
          <w:p w14:paraId="0F2D9931" w14:textId="77777777" w:rsidR="00D10548" w:rsidRPr="005D59D3" w:rsidRDefault="00D10548" w:rsidP="009F5F1F">
            <w:pPr>
              <w:snapToGrid w:val="0"/>
              <w:ind w:right="6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2" w:type="pct"/>
            <w:vAlign w:val="center"/>
          </w:tcPr>
          <w:p w14:paraId="635AB568" w14:textId="1EC9E0B0" w:rsidR="00D10548" w:rsidRPr="00C465E2" w:rsidRDefault="00E95EE5" w:rsidP="00C465E2">
            <w:pPr>
              <w:pStyle w:val="ListParagraph"/>
              <w:numPr>
                <w:ilvl w:val="0"/>
                <w:numId w:val="28"/>
              </w:numPr>
              <w:snapToGrid w:val="0"/>
              <w:ind w:right="1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Nivo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kojeg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228E">
              <w:rPr>
                <w:rFonts w:ascii="Times New Roman" w:hAnsi="Times New Roman" w:cs="Times New Roman"/>
                <w:sz w:val="18"/>
                <w:szCs w:val="18"/>
              </w:rPr>
              <w:t>koordinir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poslovi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razvoja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planova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pravde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uprave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18"/>
                <w:szCs w:val="18"/>
              </w:rPr>
              <w:t>europskih</w:t>
            </w:r>
            <w:r w:rsidR="00D10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integracija</w:t>
            </w:r>
          </w:p>
        </w:tc>
        <w:tc>
          <w:tcPr>
            <w:tcW w:w="789" w:type="pct"/>
            <w:vAlign w:val="center"/>
          </w:tcPr>
          <w:p w14:paraId="29EE30FF" w14:textId="77777777" w:rsidR="00D10548" w:rsidRPr="005D59D3" w:rsidRDefault="00D10548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13" w:type="pct"/>
            <w:vAlign w:val="center"/>
          </w:tcPr>
          <w:p w14:paraId="31DA74CA" w14:textId="77777777" w:rsidR="00D10548" w:rsidRPr="005D59D3" w:rsidRDefault="00D10548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10" w:type="pct"/>
          </w:tcPr>
          <w:p w14:paraId="24BF2E2B" w14:textId="77777777" w:rsidR="00D10548" w:rsidRDefault="00976935" w:rsidP="009F5F1F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</w:tbl>
    <w:p w14:paraId="1DDE2E5B" w14:textId="1E24A656" w:rsidR="00666409" w:rsidRDefault="00E95EE5" w:rsidP="00B0090F">
      <w:pPr>
        <w:spacing w:before="120" w:after="120" w:line="240" w:lineRule="auto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Četiri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ovog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Posebnog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mjerljiva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osnovu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podataka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OJ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dostavljaju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6FA50ABC" w14:textId="3AD78036" w:rsidR="009F5F1F" w:rsidRPr="00C77FF0" w:rsidRDefault="00E95EE5" w:rsidP="00B0090F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navedene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početne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vrijednosti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preformulacijom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nalaženjem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relevantnih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podataka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izračunao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polazne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preciznije</w:t>
      </w:r>
      <w:r w:rsidR="00666409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odredio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ciljane</w:t>
      </w:r>
      <w:r w:rsidR="00812B63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2999B88C" w14:textId="1B725369" w:rsidR="00017087" w:rsidRDefault="00E95EE5" w:rsidP="00B0090F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01708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odabrao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mjerljiv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treće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strane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preporuka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vodiča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indeks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pokazatelju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Projekta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svjetske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 w:rsidR="008B7B0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World Justice Project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„</w:t>
      </w:r>
      <w:r w:rsidR="008B7B0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Rule of Law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“</w:t>
      </w:r>
      <w:r w:rsidR="009F5F1F" w:rsidRPr="00C77FF0">
        <w:rPr>
          <w:rStyle w:val="FootnoteReference"/>
          <w:rFonts w:ascii="Times New Roman" w:eastAsia="PMingLiU" w:hAnsi="Times New Roman" w:cs="Times New Roman"/>
          <w:sz w:val="24"/>
          <w:szCs w:val="24"/>
          <w:lang w:eastAsia="zh-TW" w:bidi="as-IN"/>
        </w:rPr>
        <w:footnoteReference w:id="43"/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uspjeha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bude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objektivnija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većina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mjerena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unutar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09499C38" w14:textId="2B15454D" w:rsidR="009F5F1F" w:rsidRDefault="00E95EE5" w:rsidP="00B0090F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budućem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ciklusu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uzeti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obzir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pokušati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identificirati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dodatne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pokazatelje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mjerene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van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6D799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ukazuju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rezultate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Trenutno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indeks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 w:rsidR="007437F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Rule of Law</w:t>
      </w:r>
      <w:r w:rsidR="00B3797E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“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moguće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precizno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odrediti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pojedinačne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institucije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preporuka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razmotri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nastoji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utvrditi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kroz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naredne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cikluse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D567B8A" w14:textId="027FDB62" w:rsidR="00B0090F" w:rsidRDefault="00E95EE5" w:rsidP="00ED649A">
      <w:pPr>
        <w:spacing w:after="120" w:line="240" w:lineRule="auto"/>
        <w:jc w:val="both"/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Što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tiče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ocjene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postignuća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osnovu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dijagrama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logičke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mape</w:t>
      </w:r>
      <w:r w:rsidR="007437F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</w:t>
      </w:r>
      <w:r w:rsidR="007437F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se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utvrditi</w:t>
      </w:r>
      <w:r w:rsidR="00083984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6D799B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veza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između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uspostavljena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B0090F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br w:type="page"/>
      </w:r>
    </w:p>
    <w:p w14:paraId="19374C79" w14:textId="42513743" w:rsidR="009F5F1F" w:rsidRPr="00ED649A" w:rsidRDefault="00E95EE5" w:rsidP="00ED649A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lastRenderedPageBreak/>
        <w:t>Shodno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tome</w:t>
      </w:r>
      <w:r w:rsidR="006D799B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,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prethodno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navedene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akcije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u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dijagramu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slijede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logiku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postavljanja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projekata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koji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vode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prema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programima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te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programa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koji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svojom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realizacijom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ispunjavaju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zadate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posebne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ciljeve</w:t>
      </w:r>
      <w:r w:rsidR="00083984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,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doprinose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zajedno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ostvarenju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srednjoročnoga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cilja</w:t>
      </w:r>
      <w:r w:rsidR="009F5F1F" w:rsidRPr="00ED649A">
        <w:rPr>
          <w:rFonts w:ascii="Times New Roman" w:eastAsia="PMingLiU" w:hAnsi="Times New Roman" w:cs="Times New Roman"/>
          <w:bCs/>
          <w:iCs/>
          <w:sz w:val="23"/>
          <w:szCs w:val="23"/>
          <w:lang w:eastAsia="zh-TW" w:bidi="as-IN"/>
        </w:rPr>
        <w:t>.</w:t>
      </w:r>
    </w:p>
    <w:p w14:paraId="797D867C" w14:textId="449DDF94" w:rsidR="003735C5" w:rsidRPr="00ED649A" w:rsidRDefault="00E95EE5" w:rsidP="00ED649A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osnovu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izvještaja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rezultata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ostvarenja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ciljeva</w:t>
      </w:r>
      <w:r w:rsidR="007437F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evaluacija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takođe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nalazi</w:t>
      </w:r>
      <w:r w:rsidR="007437F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da</w:t>
      </w:r>
      <w:r w:rsidR="007437F5"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01708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01708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narednom</w:t>
      </w:r>
      <w:r w:rsidR="00017087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periodu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potrebno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pažljivije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razmotriti</w:t>
      </w:r>
      <w:r w:rsidR="007437F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rizike</w:t>
      </w:r>
      <w:r w:rsidR="007437F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nisu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nivou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protivmjere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provođenje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aktivnosti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5F9D3CA7" w14:textId="3283D974" w:rsidR="00760316" w:rsidRDefault="00E95EE5" w:rsidP="00760316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Pored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svega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navedenog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kon</w:t>
      </w:r>
      <w:r>
        <w:rPr>
          <w:rFonts w:ascii="Times New Roman" w:eastAsia="PMingLiU" w:hAnsi="Times New Roman" w:cs="Times New Roman"/>
          <w:sz w:val="23"/>
          <w:szCs w:val="23"/>
          <w:lang w:val="sr-Cyrl-BA" w:eastAsia="zh-TW" w:bidi="as-IN"/>
        </w:rPr>
        <w:t>s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tatujemo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dobio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jedan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novi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program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koji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uvršten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Srednjoročni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1.</w:t>
      </w:r>
    </w:p>
    <w:p w14:paraId="2E2CCB61" w14:textId="6A86B342" w:rsidR="009F5F1F" w:rsidRPr="00FF62BE" w:rsidRDefault="00E95EE5" w:rsidP="00760316">
      <w:pPr>
        <w:spacing w:after="12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Tabela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5.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Pokazatelji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uspjeha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za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Srednjoročni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</w:t>
      </w:r>
      <w:r w:rsidR="003909B6" w:rsidRPr="00FF62BE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</w:t>
      </w:r>
    </w:p>
    <w:tbl>
      <w:tblPr>
        <w:tblStyle w:val="TableGrid0"/>
        <w:tblW w:w="4962" w:type="pc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1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2060"/>
        <w:gridCol w:w="7098"/>
        <w:gridCol w:w="1567"/>
        <w:gridCol w:w="1723"/>
        <w:gridCol w:w="1720"/>
      </w:tblGrid>
      <w:tr w:rsidR="006F0357" w:rsidRPr="002B35C2" w14:paraId="4D167E21" w14:textId="77777777" w:rsidTr="00017087">
        <w:trPr>
          <w:trHeight w:val="397"/>
        </w:trPr>
        <w:tc>
          <w:tcPr>
            <w:tcW w:w="3232" w:type="pct"/>
            <w:gridSpan w:val="2"/>
            <w:shd w:val="clear" w:color="auto" w:fill="44546A" w:themeFill="text2"/>
            <w:vAlign w:val="center"/>
          </w:tcPr>
          <w:p w14:paraId="0783139F" w14:textId="772C8329" w:rsidR="006F0357" w:rsidRPr="002B35C2" w:rsidRDefault="00E95EE5" w:rsidP="006F0357">
            <w:pPr>
              <w:snapToGrid w:val="0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>Srednjoročni</w:t>
            </w:r>
            <w:r w:rsidR="006F0357"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>cilj</w:t>
            </w:r>
            <w:r w:rsidR="006F0357"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bs-Latn-BA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Unapređenje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efikasnosti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odgovornosti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kvalitete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i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nezavisnosti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sektora</w:t>
            </w:r>
            <w:r w:rsidR="006F0357" w:rsidRPr="00FF62BE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bs-Latn-BA"/>
              </w:rPr>
              <w:t>pravde</w:t>
            </w:r>
          </w:p>
        </w:tc>
        <w:tc>
          <w:tcPr>
            <w:tcW w:w="553" w:type="pct"/>
            <w:shd w:val="clear" w:color="auto" w:fill="44546A" w:themeFill="text2"/>
            <w:vAlign w:val="center"/>
          </w:tcPr>
          <w:p w14:paraId="4A9463E6" w14:textId="7443DBCB" w:rsidR="006F0357" w:rsidRPr="002B35C2" w:rsidRDefault="00E95EE5" w:rsidP="006F0357">
            <w:pPr>
              <w:snapToGrid w:val="0"/>
              <w:ind w:right="104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Početna</w:t>
            </w:r>
            <w:r w:rsidR="006F0357"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39C93DAE" w14:textId="507282D2" w:rsidR="006F0357" w:rsidRPr="002B35C2" w:rsidRDefault="006F0357" w:rsidP="006F0357">
            <w:pPr>
              <w:snapToGrid w:val="0"/>
              <w:ind w:left="1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(2018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. </w:t>
            </w:r>
            <w:r w:rsidR="00E95EE5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608" w:type="pct"/>
            <w:shd w:val="clear" w:color="auto" w:fill="44546A" w:themeFill="text2"/>
            <w:vAlign w:val="center"/>
          </w:tcPr>
          <w:p w14:paraId="78500EDB" w14:textId="2ED872AE" w:rsidR="006F0357" w:rsidRPr="002B35C2" w:rsidRDefault="00E95EE5" w:rsidP="006F0357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Očekivana</w:t>
            </w:r>
            <w:r w:rsidR="006F0357"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vrijednost</w:t>
            </w:r>
          </w:p>
          <w:p w14:paraId="3256CED0" w14:textId="0918D54D" w:rsidR="006F0357" w:rsidRPr="002B35C2" w:rsidRDefault="006F0357" w:rsidP="006F0357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(2021</w:t>
            </w: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.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Pr="002B35C2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607" w:type="pct"/>
            <w:shd w:val="clear" w:color="auto" w:fill="44546A" w:themeFill="text2"/>
          </w:tcPr>
          <w:p w14:paraId="4748C0BA" w14:textId="011B5259" w:rsidR="006F0357" w:rsidRPr="002B35C2" w:rsidRDefault="00E95EE5" w:rsidP="006F0357">
            <w:pPr>
              <w:snapToGrid w:val="0"/>
              <w:ind w:right="26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Ostvarena</w:t>
            </w:r>
            <w:r w:rsidR="006F035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vrijednost</w:t>
            </w:r>
            <w:r w:rsidR="006F035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(2021.</w:t>
            </w:r>
            <w:r w:rsidR="00C735C3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godine</w:t>
            </w:r>
            <w:r w:rsidR="006F0357"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976935" w:rsidRPr="002B35C2" w14:paraId="7F527D4D" w14:textId="77777777" w:rsidTr="00B0090F">
        <w:trPr>
          <w:trHeight w:val="361"/>
        </w:trPr>
        <w:tc>
          <w:tcPr>
            <w:tcW w:w="727" w:type="pct"/>
            <w:vAlign w:val="center"/>
          </w:tcPr>
          <w:p w14:paraId="72F19AAB" w14:textId="34DB6CB5" w:rsidR="00976935" w:rsidRPr="002B35C2" w:rsidRDefault="00E95EE5" w:rsidP="00FF62BE">
            <w:pPr>
              <w:snapToGrid w:val="0"/>
              <w:spacing w:after="12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976935"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505" w:type="pct"/>
            <w:vAlign w:val="center"/>
          </w:tcPr>
          <w:p w14:paraId="39C7746D" w14:textId="621097A5" w:rsidR="00976935" w:rsidRPr="002B35C2" w:rsidRDefault="00E95EE5" w:rsidP="00976935">
            <w:pPr>
              <w:snapToGrid w:val="0"/>
              <w:spacing w:after="120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Indeks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vladavine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prava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ograničenja</w:t>
            </w:r>
            <w:r w:rsidR="00976935" w:rsidRPr="002B35C2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državnih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ovlasti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krivične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građanske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pravde</w:t>
            </w:r>
          </w:p>
        </w:tc>
        <w:tc>
          <w:tcPr>
            <w:tcW w:w="553" w:type="pct"/>
            <w:vAlign w:val="center"/>
          </w:tcPr>
          <w:p w14:paraId="33CA5F6D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0.5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608" w:type="pct"/>
            <w:vAlign w:val="center"/>
          </w:tcPr>
          <w:p w14:paraId="75BBACAA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0.6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607" w:type="pct"/>
            <w:vAlign w:val="center"/>
          </w:tcPr>
          <w:p w14:paraId="3BDBEE51" w14:textId="77777777" w:rsidR="00976935" w:rsidRPr="00017087" w:rsidRDefault="00976935" w:rsidP="0001708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017087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0.47</w:t>
            </w:r>
          </w:p>
        </w:tc>
      </w:tr>
      <w:tr w:rsidR="00B0090F" w:rsidRPr="002B35C2" w14:paraId="21B580A9" w14:textId="77777777" w:rsidTr="00ED649A">
        <w:trPr>
          <w:trHeight w:val="26"/>
        </w:trPr>
        <w:tc>
          <w:tcPr>
            <w:tcW w:w="727" w:type="pct"/>
            <w:vAlign w:val="center"/>
          </w:tcPr>
          <w:p w14:paraId="1A9DF80C" w14:textId="37E08740" w:rsidR="00B0090F" w:rsidRPr="002B35C2" w:rsidRDefault="00E95EE5" w:rsidP="00FF62BE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cilj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1</w:t>
            </w:r>
          </w:p>
        </w:tc>
        <w:tc>
          <w:tcPr>
            <w:tcW w:w="4273" w:type="pct"/>
            <w:gridSpan w:val="4"/>
            <w:vAlign w:val="center"/>
          </w:tcPr>
          <w:p w14:paraId="27D4971A" w14:textId="2C6C0D33" w:rsidR="00B0090F" w:rsidRDefault="00640226" w:rsidP="00FF62BE">
            <w:pPr>
              <w:snapToGrid w:val="0"/>
              <w:spacing w:after="120"/>
              <w:ind w:left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stabilnu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pravosudnu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upravu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ojačati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pravosudnu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saradnju</w:t>
            </w:r>
          </w:p>
        </w:tc>
      </w:tr>
      <w:tr w:rsidR="00976935" w:rsidRPr="002B35C2" w14:paraId="6A1EB48C" w14:textId="77777777" w:rsidTr="00B0090F">
        <w:trPr>
          <w:trHeight w:val="202"/>
        </w:trPr>
        <w:tc>
          <w:tcPr>
            <w:tcW w:w="727" w:type="pct"/>
            <w:vAlign w:val="center"/>
          </w:tcPr>
          <w:p w14:paraId="4B15A06C" w14:textId="49BCD64D" w:rsidR="00976935" w:rsidRPr="002B35C2" w:rsidRDefault="00E95EE5" w:rsidP="00FF62BE">
            <w:pPr>
              <w:snapToGrid w:val="0"/>
              <w:spacing w:after="12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976935"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505" w:type="pct"/>
            <w:vAlign w:val="center"/>
          </w:tcPr>
          <w:p w14:paraId="17B81E96" w14:textId="0453F928" w:rsidR="00976935" w:rsidRPr="002B35C2" w:rsidRDefault="00E95EE5" w:rsidP="00FF62BE">
            <w:pPr>
              <w:snapToGrid w:val="0"/>
              <w:spacing w:after="120"/>
              <w:ind w:left="1" w:right="104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izrađenih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normativno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pravnih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propisa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pravosuđa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odnosu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planiranih</w:t>
            </w:r>
            <w:r w:rsidR="00976935">
              <w:rPr>
                <w:rStyle w:val="FootnoteReference"/>
                <w:rFonts w:ascii="Times New Roman" w:hAnsi="Times New Roman" w:cs="Times New Roman"/>
                <w:sz w:val="18"/>
                <w:szCs w:val="18"/>
                <w:lang w:val="bs-Latn-BA"/>
              </w:rPr>
              <w:footnoteReference w:id="44"/>
            </w:r>
          </w:p>
        </w:tc>
        <w:tc>
          <w:tcPr>
            <w:tcW w:w="553" w:type="pct"/>
            <w:vAlign w:val="center"/>
          </w:tcPr>
          <w:p w14:paraId="0D7A21AF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83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608" w:type="pct"/>
            <w:vAlign w:val="center"/>
          </w:tcPr>
          <w:p w14:paraId="216AEB1A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87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607" w:type="pct"/>
            <w:vAlign w:val="center"/>
          </w:tcPr>
          <w:p w14:paraId="1DCA0496" w14:textId="77777777" w:rsidR="00976935" w:rsidRDefault="00976935" w:rsidP="0001708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80%</w:t>
            </w:r>
          </w:p>
        </w:tc>
      </w:tr>
      <w:tr w:rsidR="00B0090F" w:rsidRPr="002B35C2" w14:paraId="7D51F5AD" w14:textId="77777777" w:rsidTr="00ED649A">
        <w:trPr>
          <w:trHeight w:val="194"/>
        </w:trPr>
        <w:tc>
          <w:tcPr>
            <w:tcW w:w="727" w:type="pct"/>
            <w:vAlign w:val="center"/>
          </w:tcPr>
          <w:p w14:paraId="370158B2" w14:textId="23D845AF" w:rsidR="00B0090F" w:rsidRPr="002B35C2" w:rsidRDefault="00E95EE5" w:rsidP="00FF62BE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cilj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2</w:t>
            </w:r>
          </w:p>
        </w:tc>
        <w:tc>
          <w:tcPr>
            <w:tcW w:w="4273" w:type="pct"/>
            <w:gridSpan w:val="4"/>
            <w:vAlign w:val="center"/>
          </w:tcPr>
          <w:p w14:paraId="28A5D7BB" w14:textId="62F114F4" w:rsidR="00B0090F" w:rsidRDefault="00640226" w:rsidP="00FF62BE">
            <w:pPr>
              <w:snapToGrid w:val="0"/>
              <w:spacing w:after="120"/>
              <w:ind w:left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human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zakonit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tretman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te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efiksnu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resocijalizaciju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zatvorenika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pritvorenika</w:t>
            </w:r>
          </w:p>
        </w:tc>
      </w:tr>
      <w:tr w:rsidR="00976935" w:rsidRPr="002B35C2" w14:paraId="4DC1BD78" w14:textId="77777777" w:rsidTr="00B0090F">
        <w:trPr>
          <w:trHeight w:val="320"/>
        </w:trPr>
        <w:tc>
          <w:tcPr>
            <w:tcW w:w="727" w:type="pct"/>
            <w:vAlign w:val="center"/>
          </w:tcPr>
          <w:p w14:paraId="4C4AD865" w14:textId="52F667C8" w:rsidR="00976935" w:rsidRPr="002B35C2" w:rsidRDefault="00E95EE5" w:rsidP="00FF62BE">
            <w:pPr>
              <w:snapToGrid w:val="0"/>
              <w:spacing w:after="12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976935"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505" w:type="pct"/>
            <w:vAlign w:val="center"/>
          </w:tcPr>
          <w:p w14:paraId="6E5C7FEB" w14:textId="0CC72034" w:rsidR="00976935" w:rsidRPr="002B35C2" w:rsidRDefault="00E95EE5" w:rsidP="00FF62BE">
            <w:pPr>
              <w:snapToGrid w:val="0"/>
              <w:spacing w:after="120"/>
              <w:ind w:left="1" w:right="63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ispunjenja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aktivnosti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IKS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odnosu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planirane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GPR</w:t>
            </w:r>
          </w:p>
        </w:tc>
        <w:tc>
          <w:tcPr>
            <w:tcW w:w="553" w:type="pct"/>
            <w:vAlign w:val="center"/>
          </w:tcPr>
          <w:p w14:paraId="6DA4436B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5%</w:t>
            </w:r>
          </w:p>
        </w:tc>
        <w:tc>
          <w:tcPr>
            <w:tcW w:w="608" w:type="pct"/>
            <w:vAlign w:val="center"/>
          </w:tcPr>
          <w:p w14:paraId="51BB532F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9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5%</w:t>
            </w:r>
          </w:p>
        </w:tc>
        <w:tc>
          <w:tcPr>
            <w:tcW w:w="607" w:type="pct"/>
            <w:vAlign w:val="center"/>
          </w:tcPr>
          <w:p w14:paraId="1A7320E5" w14:textId="77777777" w:rsidR="00976935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92%</w:t>
            </w:r>
          </w:p>
        </w:tc>
      </w:tr>
      <w:tr w:rsidR="00B0090F" w:rsidRPr="002B35C2" w14:paraId="09830272" w14:textId="77777777" w:rsidTr="00B0090F">
        <w:trPr>
          <w:trHeight w:val="264"/>
        </w:trPr>
        <w:tc>
          <w:tcPr>
            <w:tcW w:w="727" w:type="pct"/>
            <w:vAlign w:val="center"/>
          </w:tcPr>
          <w:p w14:paraId="1C8E7AFD" w14:textId="34307E24" w:rsidR="00B0090F" w:rsidRPr="002B35C2" w:rsidRDefault="00E95EE5" w:rsidP="00FF62BE">
            <w:pPr>
              <w:snapToGrid w:val="0"/>
              <w:spacing w:after="120"/>
              <w:ind w:right="66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Posebni</w:t>
            </w:r>
            <w:r w:rsidR="00B0090F"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cilj</w:t>
            </w:r>
            <w:r w:rsidR="00B0090F" w:rsidRPr="002B35C2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 3</w:t>
            </w:r>
          </w:p>
        </w:tc>
        <w:tc>
          <w:tcPr>
            <w:tcW w:w="4273" w:type="pct"/>
            <w:gridSpan w:val="4"/>
            <w:vAlign w:val="center"/>
          </w:tcPr>
          <w:p w14:paraId="2437BE0F" w14:textId="04BBC30A" w:rsidR="00B0090F" w:rsidRDefault="00640226" w:rsidP="00FF62BE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Osigurati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pružanje</w:t>
            </w:r>
            <w:r w:rsidR="00B009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međunarodne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pravne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pomoći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B0090F" w:rsidRPr="000F7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5EE5">
              <w:rPr>
                <w:rFonts w:ascii="Times New Roman" w:hAnsi="Times New Roman" w:cs="Times New Roman"/>
                <w:b/>
                <w:sz w:val="18"/>
                <w:szCs w:val="18"/>
              </w:rPr>
              <w:t>saradnje</w:t>
            </w:r>
          </w:p>
        </w:tc>
      </w:tr>
      <w:tr w:rsidR="00976935" w:rsidRPr="002B35C2" w14:paraId="00BB3772" w14:textId="77777777" w:rsidTr="00B0090F">
        <w:trPr>
          <w:trHeight w:val="320"/>
        </w:trPr>
        <w:tc>
          <w:tcPr>
            <w:tcW w:w="727" w:type="pct"/>
            <w:vAlign w:val="center"/>
          </w:tcPr>
          <w:p w14:paraId="02017D59" w14:textId="3CCBF241" w:rsidR="00976935" w:rsidRPr="002B35C2" w:rsidRDefault="00E95EE5" w:rsidP="00FF62BE">
            <w:pPr>
              <w:snapToGrid w:val="0"/>
              <w:spacing w:after="120"/>
              <w:ind w:right="66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Pokazatelj</w:t>
            </w:r>
            <w:r w:rsidR="00976935" w:rsidRPr="002B35C2"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bs-Latn-BA"/>
              </w:rPr>
              <w:t>uspjeha</w:t>
            </w:r>
          </w:p>
        </w:tc>
        <w:tc>
          <w:tcPr>
            <w:tcW w:w="2505" w:type="pct"/>
            <w:vAlign w:val="center"/>
          </w:tcPr>
          <w:p w14:paraId="0E328013" w14:textId="6D80AB63" w:rsidR="00976935" w:rsidRPr="002B35C2" w:rsidRDefault="00E95EE5" w:rsidP="00FF62BE">
            <w:pPr>
              <w:snapToGrid w:val="0"/>
              <w:spacing w:after="120"/>
              <w:ind w:right="6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Postotak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ispunjenja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AP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SRSP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tiče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međunarodne</w:t>
            </w:r>
            <w:r w:rsidR="0001708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pravne</w:t>
            </w:r>
            <w:r w:rsidR="0097693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pomoći</w:t>
            </w:r>
          </w:p>
        </w:tc>
        <w:tc>
          <w:tcPr>
            <w:tcW w:w="553" w:type="pct"/>
            <w:vAlign w:val="center"/>
          </w:tcPr>
          <w:p w14:paraId="426809FC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72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608" w:type="pct"/>
            <w:vAlign w:val="center"/>
          </w:tcPr>
          <w:p w14:paraId="2C53D20E" w14:textId="77777777" w:rsidR="00976935" w:rsidRPr="002B35C2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100</w:t>
            </w:r>
            <w:r w:rsidRPr="002B35C2"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  <w:t>%</w:t>
            </w:r>
          </w:p>
        </w:tc>
        <w:tc>
          <w:tcPr>
            <w:tcW w:w="607" w:type="pct"/>
            <w:vAlign w:val="center"/>
          </w:tcPr>
          <w:p w14:paraId="26AE1DD5" w14:textId="77777777" w:rsidR="00976935" w:rsidRDefault="00976935" w:rsidP="00FF62BE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95%</w:t>
            </w:r>
          </w:p>
        </w:tc>
      </w:tr>
    </w:tbl>
    <w:p w14:paraId="294AB355" w14:textId="575459C1" w:rsidR="003735C5" w:rsidRPr="00ED649A" w:rsidRDefault="00E95EE5" w:rsidP="00ED649A">
      <w:pPr>
        <w:spacing w:before="120" w:after="120" w:line="240" w:lineRule="auto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Svaki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ovih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posebnih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ciljeva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mjerljiva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osnovu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izvještaja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radu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podataka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koje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OJ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dostavljaju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potrebi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31CE9015" w14:textId="60825ED3" w:rsidR="003735C5" w:rsidRPr="00ED649A" w:rsidRDefault="00E95EE5" w:rsidP="003735C5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sve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navedene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početne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vrijednosti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preformulacijom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nalaženjem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relevantnih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podataka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izračunao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polazne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vrijednosti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preciznije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odredio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ciljane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vrijednosti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</w:p>
    <w:p w14:paraId="5C7A508E" w14:textId="2519A4EA" w:rsidR="00760316" w:rsidRPr="00ED649A" w:rsidRDefault="00E95EE5" w:rsidP="003735C5">
      <w:pPr>
        <w:spacing w:after="120" w:line="240" w:lineRule="auto"/>
        <w:jc w:val="both"/>
        <w:rPr>
          <w:rFonts w:ascii="Times New Roman" w:eastAsia="PMingLiU" w:hAnsi="Times New Roman" w:cs="Times New Roman"/>
          <w:sz w:val="23"/>
          <w:szCs w:val="23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SPR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za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srednjoročnog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cilja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kao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što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već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rečeno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odabrao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mjerljiv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od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treće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strane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što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bila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preporuka</w:t>
      </w:r>
      <w:r w:rsidR="00760316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  <w:r w:rsidR="003735C5" w:rsidRPr="00ED649A">
        <w:rPr>
          <w:rStyle w:val="FootnoteReference"/>
          <w:rFonts w:ascii="Times New Roman" w:eastAsia="PMingLiU" w:hAnsi="Times New Roman" w:cs="Times New Roman"/>
          <w:sz w:val="23"/>
          <w:szCs w:val="23"/>
          <w:lang w:eastAsia="zh-TW" w:bidi="as-IN"/>
        </w:rPr>
        <w:footnoteReference w:id="45"/>
      </w:r>
    </w:p>
    <w:p w14:paraId="2689CF5A" w14:textId="4DB585FF" w:rsidR="00B0090F" w:rsidRDefault="00E95EE5" w:rsidP="00B0090F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narednom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ciklusu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planiranja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potrebno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uzeti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obzir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pokušati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 w:rsidR="00632CCD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identificirati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dodatne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pokazatelje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mjerene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van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da</w:t>
      </w:r>
      <w:r w:rsidR="003735C5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ukazuju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na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rezultate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rada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MP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BiH</w:t>
      </w:r>
      <w:r w:rsidR="00B0090F" w:rsidRPr="00ED649A">
        <w:rPr>
          <w:rFonts w:ascii="Times New Roman" w:eastAsia="PMingLiU" w:hAnsi="Times New Roman" w:cs="Times New Roman"/>
          <w:sz w:val="23"/>
          <w:szCs w:val="23"/>
          <w:lang w:eastAsia="zh-TW" w:bidi="as-IN"/>
        </w:rPr>
        <w:t>.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200D898C" w14:textId="29597790" w:rsidR="003735C5" w:rsidRDefault="00E95EE5" w:rsidP="003735C5">
      <w:pPr>
        <w:spacing w:after="120" w:line="240" w:lineRule="auto"/>
        <w:jc w:val="both"/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lastRenderedPageBreak/>
        <w:t>Što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tiče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ocjene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postignuća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posebnih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doprinosa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realizaciji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osnovu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dijagrama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logičke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mape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utvrditi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3735C5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veza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između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istih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uspostavljena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osnovu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7228E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dodan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kolone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2021.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možemo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vidjeti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uprkos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pandemiji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korona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virusa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trajanjem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svih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ipak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približno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planiranom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26283D2" w14:textId="695200D0" w:rsidR="00976935" w:rsidRDefault="00E95EE5" w:rsidP="003735C5">
      <w:pPr>
        <w:spacing w:after="120" w:line="240" w:lineRule="auto"/>
        <w:jc w:val="both"/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Shodno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tome</w:t>
      </w:r>
      <w:r w:rsidR="003735C5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,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prethodno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navedene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akcije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u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dijagramu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slijede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logiku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postavljanja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projekata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koji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vode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prema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programima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te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programa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koji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svojom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realizacijom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ispunjavaju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zadate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posebne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ciljeve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doprinose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zajedno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ostvarenju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srednjoročnoga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cilja</w:t>
      </w:r>
      <w:r w:rsidR="003735C5" w:rsidRPr="00C77FF0">
        <w:rPr>
          <w:rFonts w:ascii="Times New Roman" w:eastAsia="PMingLiU" w:hAnsi="Times New Roman" w:cs="Times New Roman"/>
          <w:bCs/>
          <w:iCs/>
          <w:sz w:val="24"/>
          <w:szCs w:val="24"/>
          <w:lang w:eastAsia="zh-TW" w:bidi="as-IN"/>
        </w:rPr>
        <w:t>.</w:t>
      </w:r>
    </w:p>
    <w:p w14:paraId="5867DF76" w14:textId="442AADAD" w:rsidR="00760316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</w:t>
      </w:r>
      <w:r>
        <w:rPr>
          <w:rFonts w:ascii="Times New Roman" w:eastAsia="PMingLiU" w:hAnsi="Times New Roman" w:cs="Times New Roman"/>
          <w:sz w:val="24"/>
          <w:szCs w:val="24"/>
          <w:lang w:val="sr-Cyrl-BA" w:eastAsia="zh-TW" w:bidi="as-IN"/>
        </w:rPr>
        <w:t>k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reće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pažnja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razmatranje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rizika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nisu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mogu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uticati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direktno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23F49958" w14:textId="61A9230E" w:rsidR="00760316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naglasiti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prilikom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svake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zapaža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koloni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glasi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Polazna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“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metodologiji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odnosi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uvijek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unose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podaci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jedini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dostupni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podaci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dvije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79AB98E3" w14:textId="1E07A802" w:rsidR="00760316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Slikovito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prikazano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2022.  -202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4.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polazna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vrijednost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trebala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metodologiji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biti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2021.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ali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zanemaruje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činjenica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kada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počinje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izradom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samog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doumenta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naredni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trogodišnji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podaci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koriste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jer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jedino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podaci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dostupni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provjereni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47152716" w14:textId="390BEDE3" w:rsidR="00760316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Ukoliko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uzememo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obzir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činjenicu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činjenicu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dvogodišnjeg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trajanja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pandemije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izmijenila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pristup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poslovnim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procesima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određenim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segmentima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svom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početku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vrlo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usporila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moramo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konstatovati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dosta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realnije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postavljeno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nego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prethodnih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 w:rsidR="0042664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Također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moramo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istaći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prisutno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stalno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mijenjanje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okrupnjavanje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projekata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pokazatelja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1189631E" w14:textId="0FBB4B31" w:rsidR="00D51663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izrade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jednostavnijeg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manje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obimnog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dokumenta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toku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tim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značajan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pomak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strateškom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planiranju</w:t>
      </w:r>
      <w:r w:rsidR="0097693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5EAC2D7E" w14:textId="79874F2D" w:rsidR="00760316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planiranih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većinom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dosegnula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svoj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puni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kapacitet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ali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uprkos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stanju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tokom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dvije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prethodne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provođene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bez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većih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zastoja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problema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0E5A3270" w14:textId="7FC544EF" w:rsidR="00976935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istaći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većina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izazova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dolazi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vana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iste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imati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vidu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narednim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godinama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planiranja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54DA93C" w14:textId="37DC9A01" w:rsidR="00EF39EC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Tokom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ovog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izvještajnog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bilo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nisu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započele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svojom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realizacijom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čija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realizacija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duži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odložena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 w:rsidR="0042664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Također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bitno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naglasiti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povezanost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srednjoročnih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godišnjih</w:t>
      </w:r>
      <w:r w:rsidR="0076031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planskih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7F6245A0" w14:textId="3EA2F3AD" w:rsidR="00EF39EC" w:rsidRDefault="00E95EE5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instrukcijama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DEP</w:t>
      </w:r>
      <w:r w:rsidR="00B0090F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-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obukama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provodile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osoblje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SSPKPEI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pohađalo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kontinuirano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planski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dokumenti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unaprjeđivali</w:t>
      </w:r>
      <w:r w:rsidR="00EF39E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sadržaju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tako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kvaliteti</w:t>
      </w:r>
      <w:r w:rsidR="00C861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p w14:paraId="35221390" w14:textId="77777777" w:rsidR="00B0090F" w:rsidRDefault="00B0090F" w:rsidP="00976935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</w:p>
    <w:p w14:paraId="6CED94C5" w14:textId="77777777" w:rsidR="00C735C3" w:rsidRDefault="00C735C3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sectPr w:rsidR="00C735C3" w:rsidSect="00C735C3">
          <w:pgSz w:w="16838" w:h="11906" w:orient="landscape" w:code="9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14:paraId="7E5922E1" w14:textId="0FB4DC4E" w:rsidR="009F5F1F" w:rsidRPr="003735C5" w:rsidRDefault="00E95EE5" w:rsidP="001B20A1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>Pokazatelji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uspjeha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po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evaluacijskim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oblastima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za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srednjoročni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cilj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1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i</w:t>
      </w:r>
      <w:r w:rsidR="009F5F1F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2</w:t>
      </w:r>
      <w:r w:rsidR="001B20A1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su</w:t>
      </w:r>
      <w:r w:rsidR="001B20A1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predstavljeni</w:t>
      </w:r>
      <w:r w:rsidR="001B20A1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u</w:t>
      </w:r>
      <w:r w:rsidR="001B20A1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nastavku</w:t>
      </w:r>
      <w:r w:rsidR="001B20A1" w:rsidRPr="003735C5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.</w:t>
      </w:r>
    </w:p>
    <w:p w14:paraId="3C9C1AEF" w14:textId="189321AF" w:rsidR="009F5F1F" w:rsidRPr="00C77FF0" w:rsidRDefault="00E95EE5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Relevantnost</w:t>
      </w:r>
      <w:r w:rsidR="00034C3C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opsega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kojeg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relevantnim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DD47B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državnim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strategijama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prioritetima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pogotovo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Bilo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kakve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kontekstualne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promjene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faktori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politički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sigurnosni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ekološki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društveni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itd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eventualno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utiču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morali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pravilno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vrijeme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prepoznati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analizirani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objašnjeni</w:t>
      </w:r>
      <w:r w:rsidR="001B20A1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8959" w:type="dxa"/>
        <w:tblInd w:w="108" w:type="dxa"/>
        <w:tblLook w:val="04A0" w:firstRow="1" w:lastRow="0" w:firstColumn="1" w:lastColumn="0" w:noHBand="0" w:noVBand="1"/>
      </w:tblPr>
      <w:tblGrid>
        <w:gridCol w:w="2693"/>
        <w:gridCol w:w="6259"/>
        <w:gridCol w:w="7"/>
      </w:tblGrid>
      <w:tr w:rsidR="00507547" w:rsidRPr="00D40B7D" w14:paraId="0E46F75E" w14:textId="77777777" w:rsidTr="00507547">
        <w:tc>
          <w:tcPr>
            <w:tcW w:w="2693" w:type="dxa"/>
            <w:shd w:val="clear" w:color="auto" w:fill="44546A" w:themeFill="text2"/>
          </w:tcPr>
          <w:p w14:paraId="688D6D11" w14:textId="77777777" w:rsidR="00507547" w:rsidRPr="00D40B7D" w:rsidRDefault="00507547" w:rsidP="009D62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266" w:type="dxa"/>
            <w:gridSpan w:val="2"/>
            <w:shd w:val="clear" w:color="auto" w:fill="44546A" w:themeFill="text2"/>
          </w:tcPr>
          <w:p w14:paraId="149E0C35" w14:textId="65854A33" w:rsidR="00507547" w:rsidRPr="00D40B7D" w:rsidRDefault="00E95EE5" w:rsidP="009D62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1B20A1" w14:paraId="3EA279B1" w14:textId="77777777" w:rsidTr="00507547">
        <w:trPr>
          <w:gridAfter w:val="1"/>
          <w:wAfter w:w="7" w:type="dxa"/>
        </w:trPr>
        <w:tc>
          <w:tcPr>
            <w:tcW w:w="2693" w:type="dxa"/>
            <w:shd w:val="clear" w:color="auto" w:fill="auto"/>
            <w:vAlign w:val="center"/>
          </w:tcPr>
          <w:p w14:paraId="54483002" w14:textId="313777E7" w:rsidR="009F5F1F" w:rsidRP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kojoj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mjeri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ciljevi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posebni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još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uvijek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validni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59" w:type="dxa"/>
            <w:vAlign w:val="center"/>
          </w:tcPr>
          <w:p w14:paraId="7066A121" w14:textId="481BE978" w:rsidR="00D40B7D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1:</w:t>
            </w:r>
          </w:p>
          <w:p w14:paraId="2C406F1E" w14:textId="18ABA9BE" w:rsidR="009F5F1F" w:rsidRP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preuzet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Strategije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reforme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sektora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važila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18.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Ista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revidirana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tako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što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produžen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rok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važenja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2020.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zadržavajući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sve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ciljeve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uz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revidiranje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Akcionog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Tokom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2021.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2022.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intenzivno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radilo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izradi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nove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SRSP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ali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relavantnost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cilja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dalje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prisutna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3EF39CC1" w14:textId="7C897CDD" w:rsidR="009F5F1F" w:rsidRP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osnovu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navedenog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postojanja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strateškog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određenja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još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uvijek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validan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Posebni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ciljevi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odnose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mandata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oblasti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kao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takvi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izvod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srednjoročnog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kojem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doprinose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svojim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ostvarenjem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skladu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ranije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navedenim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isti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dalje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validni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22D15D33" w14:textId="28F1E30A" w:rsidR="00D40B7D" w:rsidRDefault="00E95EE5" w:rsidP="001B20A1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54F13323" w14:textId="78C9D051" w:rsid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odnosi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reformske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aktivnosti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spadaju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oblasti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javne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razvoja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civilnog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društva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Strategija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reformu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javne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donesena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817728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Vijeće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rokom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važenja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2017.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2022.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godine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Okvir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praćenje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evaluaciju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rezultata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nije</w:t>
            </w:r>
            <w:r w:rsidR="00AF66C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odobren</w:t>
            </w:r>
            <w:r w:rsidR="003909B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</w:p>
          <w:p w14:paraId="444395BD" w14:textId="71DECB7C" w:rsid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odrednice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razvoja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civilnog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društva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prepoznate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definisane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Sporazumom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saradnji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E14BF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Vijeća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nevladinog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sektora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ist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predviđa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izradu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okvira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6FD44D32" w14:textId="29028023" w:rsidR="009F5F1F" w:rsidRPr="001B20A1" w:rsidRDefault="00E95EE5" w:rsidP="001B20A1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osnovu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navedenog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izveden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ciljeva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Strategije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reformu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javne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validan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dok</w:t>
            </w:r>
            <w:r w:rsidR="004B3395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nosilac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izrade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strateškog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okvira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razvoj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civilnog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društva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tako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postavljen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usmjeren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prema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tome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još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uvijek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validan</w:t>
            </w:r>
            <w:r w:rsidR="00CC0AB9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1B20A1" w14:paraId="5FD70906" w14:textId="77777777" w:rsidTr="00507547">
        <w:trPr>
          <w:gridAfter w:val="1"/>
          <w:wAfter w:w="7" w:type="dxa"/>
        </w:trPr>
        <w:tc>
          <w:tcPr>
            <w:tcW w:w="2693" w:type="dxa"/>
            <w:shd w:val="clear" w:color="auto" w:fill="auto"/>
            <w:vAlign w:val="center"/>
          </w:tcPr>
          <w:p w14:paraId="7A233EF5" w14:textId="034353FE" w:rsidR="009F5F1F" w:rsidRP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li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aktivnosti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rezultati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skladu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posebnim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ciljevima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ostvarenjem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srednjoročnog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59" w:type="dxa"/>
            <w:vAlign w:val="center"/>
          </w:tcPr>
          <w:p w14:paraId="35333E08" w14:textId="37986EF3" w:rsidR="00D40B7D" w:rsidRDefault="00E95EE5" w:rsidP="001B20A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>Srednjoročni</w:t>
            </w:r>
            <w:r w:rsidR="7C1D1F8F" w:rsidRPr="001B2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>cilj</w:t>
            </w:r>
            <w:r w:rsidR="7C1D1F8F" w:rsidRPr="001B2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>i</w:t>
            </w:r>
            <w:r w:rsidR="7C1D1F8F" w:rsidRPr="001B20A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09DF8AA8" w14:textId="58A192E4" w:rsidR="009F5F1F" w:rsidRPr="001B20A1" w:rsidRDefault="00E95EE5" w:rsidP="0081772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Aktivnosti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rezultati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najvećoj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mjeri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skladu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posebnim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ciljevima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ostvarenjem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srednjoročnog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cilja</w:t>
            </w:r>
            <w:r w:rsidR="00DB0D2D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.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Nedostatak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procesu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planiranja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razdvajanje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razvojnih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administrativnih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aktivnosti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od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aktivnosti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podrške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koje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potrebno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određenim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kriterijima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pripisati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razvojnim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aktivnostima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rezultatima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Pored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istih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MP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BiH</w:t>
            </w:r>
            <w:r w:rsid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još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uvijek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nastoji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da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poveže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aktivnosti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koje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proizilaze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iz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prethodno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definisanih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procesa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odnose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provođenje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mandata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kroz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svoju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misiju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. </w:t>
            </w:r>
            <w:r w:rsidR="00817728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</w:t>
            </w:r>
            <w:r w:rsidR="00640226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rovođenje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ne</w:t>
            </w:r>
            <w:r w:rsidR="009A2ED5">
              <w:rPr>
                <w:rFonts w:ascii="Times New Roman" w:hAnsi="Times New Roman" w:cs="Times New Roman"/>
                <w:iCs/>
                <w:sz w:val="20"/>
                <w:szCs w:val="20"/>
                <w:lang w:val="sr-Cyrl-BA"/>
              </w:rPr>
              <w:t>provođenje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istih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ima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direktan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uticaj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na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stepen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ostvarenja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posebnih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ciljeva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i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srednjoročnog</w:t>
            </w:r>
            <w:r w:rsidR="7C1D1F8F" w:rsidRPr="001B20A1"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bs-Latn-BA"/>
              </w:rPr>
              <w:t>cilja</w:t>
            </w:r>
            <w:r w:rsidR="7C1D1F8F" w:rsidRPr="007E6C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1B20A1" w14:paraId="62C8D9EE" w14:textId="77777777" w:rsidTr="00507547">
        <w:trPr>
          <w:gridAfter w:val="1"/>
          <w:wAfter w:w="7" w:type="dxa"/>
        </w:trPr>
        <w:tc>
          <w:tcPr>
            <w:tcW w:w="2693" w:type="dxa"/>
            <w:shd w:val="clear" w:color="auto" w:fill="auto"/>
            <w:vAlign w:val="center"/>
          </w:tcPr>
          <w:p w14:paraId="57821BA5" w14:textId="031976C0" w:rsidR="009F5F1F" w:rsidRPr="001B20A1" w:rsidRDefault="00E95EE5" w:rsidP="001B20A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li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programi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projekti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skladu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planiranim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uticajima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djelovanjima</w:t>
            </w:r>
            <w:r w:rsidR="009F5F1F" w:rsidRPr="001B20A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59" w:type="dxa"/>
          </w:tcPr>
          <w:p w14:paraId="356B7B6F" w14:textId="2879A235" w:rsidR="00D40B7D" w:rsidRDefault="00E95EE5" w:rsidP="001B20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776B19C7" w14:textId="590EEC1A" w:rsidR="009F5F1F" w:rsidRPr="001B20A1" w:rsidRDefault="00E95EE5" w:rsidP="00A537F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najvećoj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mjeri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programi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projekti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skladu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sa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uticajima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djelovanjima</w:t>
            </w:r>
            <w:r w:rsidR="00E066C5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koji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planom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identifi</w:t>
            </w:r>
            <w:r w:rsidR="0081772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cirani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Rizici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slabosti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snage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najvećoj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mjeri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uzeti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obzir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prilikom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E14BFD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definiranja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programa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projekata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Tokom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2019.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godine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izrađen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je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Plan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rizika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sistemski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isti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evidentirani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Vanjski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uticaji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djelovanja</w:t>
            </w:r>
            <w:r w:rsidR="00E066C5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nedovoljnoj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mjeri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prepoznati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obrađeni</w:t>
            </w:r>
            <w:r w:rsid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,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što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je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vidljivo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iz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rezultata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polaznih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definicija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programa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7C7571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projekata</w:t>
            </w:r>
            <w:r w:rsidR="009F5F1F" w:rsidRPr="001B20A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.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obzirom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da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je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pandemija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njen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uticaj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rad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osjetan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u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svim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sferama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života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ista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odrazila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na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rad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djelovanje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MP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BiH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kroz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pomenuti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period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Iako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A537F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sastanci uživo bili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onemogućeni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isti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su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obavljani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elektronskim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putem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putem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 w:rsidR="00C72397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on line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saradnje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sa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>OJ</w:t>
            </w:r>
            <w:r w:rsidR="00E64D18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bs-Latn-BA"/>
              </w:rPr>
              <w:t xml:space="preserve">. </w:t>
            </w:r>
          </w:p>
        </w:tc>
      </w:tr>
    </w:tbl>
    <w:p w14:paraId="4E5D7C5E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br w:type="page"/>
      </w:r>
    </w:p>
    <w:p w14:paraId="7378F41E" w14:textId="76200653" w:rsidR="009F5F1F" w:rsidRPr="00C77FF0" w:rsidRDefault="00E95EE5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>Efektivnost</w:t>
      </w:r>
      <w:r w:rsidR="009F5F1F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kojoj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postigao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daju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predviđeni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ishod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skladu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njegovim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ciljevima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Analiza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operativnog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okruženja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varijabli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faktora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koji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7E6C7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uticali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postizanje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očekivanih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265"/>
      </w:tblGrid>
      <w:tr w:rsidR="00D40B7D" w:rsidRPr="00D40B7D" w14:paraId="4FA4CA20" w14:textId="77777777" w:rsidTr="00B04DDA">
        <w:tc>
          <w:tcPr>
            <w:tcW w:w="2694" w:type="dxa"/>
            <w:shd w:val="clear" w:color="auto" w:fill="44546A" w:themeFill="text2"/>
          </w:tcPr>
          <w:p w14:paraId="023A182A" w14:textId="77777777" w:rsidR="009F5F1F" w:rsidRPr="00D40B7D" w:rsidRDefault="009F5F1F" w:rsidP="009F5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265" w:type="dxa"/>
            <w:shd w:val="clear" w:color="auto" w:fill="44546A" w:themeFill="text2"/>
          </w:tcPr>
          <w:p w14:paraId="09BDC114" w14:textId="76890A24" w:rsidR="009F5F1F" w:rsidRPr="00D40B7D" w:rsidRDefault="00E95EE5" w:rsidP="009F5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D40B7D" w14:paraId="1B034EF7" w14:textId="77777777" w:rsidTr="00B04DDA">
        <w:tc>
          <w:tcPr>
            <w:tcW w:w="2694" w:type="dxa"/>
            <w:shd w:val="clear" w:color="auto" w:fill="auto"/>
            <w:vAlign w:val="center"/>
          </w:tcPr>
          <w:p w14:paraId="7FEAFE62" w14:textId="158B31D4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kojoj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mjeri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će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vjerovatno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65" w:type="dxa"/>
            <w:vAlign w:val="center"/>
          </w:tcPr>
          <w:p w14:paraId="752E0589" w14:textId="523A112D" w:rsid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1:</w:t>
            </w:r>
          </w:p>
          <w:p w14:paraId="0197566E" w14:textId="0D638CA4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nalazima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izvještaja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ispunilo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svoje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obimu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6211E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78</w:t>
            </w:r>
            <w:r w:rsidR="00C72397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% 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shodno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tome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doprinijelo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ostvarenju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srednjoročnog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pravosuđa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  <w:p w14:paraId="25DB5E9A" w14:textId="5C94C3B6" w:rsidR="00D40B7D" w:rsidRDefault="00E95EE5" w:rsidP="00D40B7D">
            <w:pPr>
              <w:rPr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2:</w:t>
            </w:r>
          </w:p>
          <w:p w14:paraId="6BC90CF7" w14:textId="7410741F" w:rsidR="009F5F1F" w:rsidRPr="00D40B7D" w:rsidRDefault="00E95EE5" w:rsidP="00C72397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Prema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nalazima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izvještaja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ispunilo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svoje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posebne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ciljeve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obimu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oko</w:t>
            </w:r>
            <w:r w:rsidR="00E066C5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6211E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88,85</w:t>
            </w:r>
            <w:r w:rsidR="00E64D18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%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shodno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tome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doprinijelo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ostvarenju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srednjoročnog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cilja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oblasti</w:t>
            </w:r>
            <w:r w:rsidR="009F5F1F" w:rsidRP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uprave</w:t>
            </w:r>
            <w:r w:rsidR="000F78A3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D40B7D" w14:paraId="38D85A03" w14:textId="77777777" w:rsidTr="00B04DDA">
        <w:tc>
          <w:tcPr>
            <w:tcW w:w="2694" w:type="dxa"/>
            <w:shd w:val="clear" w:color="auto" w:fill="auto"/>
            <w:vAlign w:val="center"/>
          </w:tcPr>
          <w:p w14:paraId="68F912E6" w14:textId="60D21609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glavni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faktori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uticali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ostvarivanje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neostvarivanje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65" w:type="dxa"/>
            <w:vAlign w:val="center"/>
          </w:tcPr>
          <w:p w14:paraId="3656F219" w14:textId="1455ECD6" w:rsidR="00D40B7D" w:rsidRDefault="00E95EE5" w:rsidP="00D40B7D">
            <w:pPr>
              <w:rPr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2:</w:t>
            </w:r>
          </w:p>
          <w:p w14:paraId="40927C2E" w14:textId="53992BB6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neostvarivanje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najviše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uticali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vanjski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faktori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kao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što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proceduralne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poteškoće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izostanak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potrebne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komunikacije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koordinacije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institucijama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velikm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dijelom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pomenuta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pandemija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Korona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virusa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tokom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2020.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2021.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godine</w:t>
            </w:r>
            <w:r w:rsidR="00E64D1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  <w:p w14:paraId="4EB2B50C" w14:textId="53D41D61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ostvarenje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istih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uticale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unutrašnje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snage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prilike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poput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osposobljavanja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kroz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brojne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donatorske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projekte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tehničku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podršku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istakli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među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ostalim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uspostavljanje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sistema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strateškog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planiranja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institucijama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</w:tbl>
    <w:p w14:paraId="5F01F7F5" w14:textId="05E7F08A" w:rsidR="009F5F1F" w:rsidRPr="00C77FF0" w:rsidRDefault="00E95EE5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Efikasnost</w:t>
      </w:r>
      <w:r w:rsidR="009F5F1F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ostvario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budžetski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učinkovit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blagovremen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način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dodijeljeni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dovoljni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odgovarajući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finansijski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ljudski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resursi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postizanje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očekivanih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Vrednovanje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ili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kojoj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pitanja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vezana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resurse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doprinijela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omogućila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spriječila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A2ED5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40B7D" w:rsidRPr="00D40B7D" w14:paraId="53D20364" w14:textId="77777777" w:rsidTr="00D40B7D">
        <w:tc>
          <w:tcPr>
            <w:tcW w:w="2830" w:type="dxa"/>
            <w:shd w:val="clear" w:color="auto" w:fill="44546A" w:themeFill="text2"/>
          </w:tcPr>
          <w:p w14:paraId="69926E28" w14:textId="77777777" w:rsidR="009F5F1F" w:rsidRPr="00D40B7D" w:rsidRDefault="009F5F1F" w:rsidP="009F5F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</w:tcPr>
          <w:p w14:paraId="3198F3E9" w14:textId="2BE2754A" w:rsidR="009F5F1F" w:rsidRPr="00D40B7D" w:rsidRDefault="00E95EE5" w:rsidP="009F5F1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18"/>
                <w:szCs w:val="18"/>
                <w:lang w:val="bs-Latn-BA"/>
              </w:rPr>
              <w:t>Komentar</w:t>
            </w:r>
          </w:p>
        </w:tc>
      </w:tr>
      <w:tr w:rsidR="009F5F1F" w:rsidRPr="00D40B7D" w14:paraId="1313B715" w14:textId="77777777" w:rsidTr="00D40B7D">
        <w:tc>
          <w:tcPr>
            <w:tcW w:w="2830" w:type="dxa"/>
            <w:shd w:val="clear" w:color="auto" w:fill="auto"/>
            <w:vAlign w:val="center"/>
          </w:tcPr>
          <w:p w14:paraId="3AD8F3B0" w14:textId="279AE4C4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632CC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provedene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aktivnosti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isplative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3009710B" w14:textId="4E9677A3" w:rsid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2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u w:val="single"/>
                <w:lang w:val="bs-Latn-BA"/>
              </w:rPr>
              <w:t>:</w:t>
            </w:r>
          </w:p>
          <w:p w14:paraId="75427F1F" w14:textId="5A5A7AD1" w:rsidR="009F5F1F" w:rsidRPr="00D40B7D" w:rsidRDefault="00E95EE5" w:rsidP="00D40B7D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sada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rađena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isplativosti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uslužnih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djelatnosti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mandatu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uzeli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primjer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registar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zaloga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registraciju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udruženja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fondacija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politike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javnih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konsultacija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pravosudni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stručni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upravni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ispiti</w:t>
            </w:r>
            <w:r w:rsidR="001A7ABE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izručenja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upravljanja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transferom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osuđenika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imamo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potvrdu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zadovoljstva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korisnika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uslugama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ali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analizu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troškovno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poređenju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alternativnim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načinima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vođenja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ovom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trenutku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moguće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ocjenu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isplativosti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aktivnosti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bilo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potrebno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uvođenje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normiranja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aktivnosti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rada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javnoj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upravi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što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jedan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kompleksnih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zadataka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ima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višeslojne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kriterije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zbog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koji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vjerovatno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sada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nisu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izrađeni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Dodatno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</w:t>
            </w:r>
            <w:r w:rsidR="005B709A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obzirom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kako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vrši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projiciranje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sredstava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srednjoročnom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isto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čini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srednjoročnom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rashoda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ali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metodološki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različito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čini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otežanim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taj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dati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poređenje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isplativosti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pojedinačno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provedenih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aktivnosti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D40B7D" w14:paraId="1D11BB31" w14:textId="77777777" w:rsidTr="00D40B7D">
        <w:trPr>
          <w:trHeight w:val="574"/>
        </w:trPr>
        <w:tc>
          <w:tcPr>
            <w:tcW w:w="2830" w:type="dxa"/>
            <w:shd w:val="clear" w:color="auto" w:fill="auto"/>
            <w:vAlign w:val="center"/>
          </w:tcPr>
          <w:p w14:paraId="76636CFA" w14:textId="0ECF0BE2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posebni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postignuti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vrijeme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zadatih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budžetskih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5F58B68B" w14:textId="169CAFDB" w:rsidR="00D40B7D" w:rsidRDefault="00E95EE5" w:rsidP="00D40B7D">
            <w:pP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2:</w:t>
            </w:r>
          </w:p>
          <w:p w14:paraId="695FD8EC" w14:textId="52CE3AAF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Posmatrano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kroz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izvještaje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ciljevi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ostvarivali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najvećoj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mjeri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vrijeme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zadanim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budžetskim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okvirima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  <w:tr w:rsidR="009F5F1F" w:rsidRPr="00D40B7D" w14:paraId="00AB30E8" w14:textId="77777777" w:rsidTr="00D40B7D">
        <w:tc>
          <w:tcPr>
            <w:tcW w:w="2830" w:type="dxa"/>
            <w:shd w:val="clear" w:color="auto" w:fill="auto"/>
            <w:vAlign w:val="center"/>
          </w:tcPr>
          <w:p w14:paraId="4C46F807" w14:textId="3EAFDEDC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li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je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SPR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BiH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proveden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najefikasniji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poređenju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drugim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mogućnostima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59A60B58" w14:textId="78EA2458" w:rsid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s-Latn-BA"/>
              </w:rPr>
              <w:t xml:space="preserve"> 2:</w:t>
            </w:r>
          </w:p>
          <w:p w14:paraId="520E10E6" w14:textId="2E25CA34" w:rsidR="009F5F1F" w:rsidRPr="00D40B7D" w:rsidRDefault="00E95EE5" w:rsidP="00D40B7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obzirom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sam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planski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dokument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koncipiran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prikazuje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alternativne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načine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rješavanja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osim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navođenja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rizika</w:t>
            </w:r>
            <w:r w:rsid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to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nije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moguće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dati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ocjenu</w:t>
            </w:r>
            <w:r w:rsidR="0039389C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stepena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efikasnosti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provođenja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plana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odnosu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druge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mogućnosti</w:t>
            </w:r>
            <w:r w:rsidR="009F5F1F" w:rsidRPr="00D40B7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</w:tr>
    </w:tbl>
    <w:p w14:paraId="427FF698" w14:textId="77777777" w:rsidR="009F5F1F" w:rsidRPr="00C77FF0" w:rsidRDefault="009F5F1F" w:rsidP="009F5F1F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br w:type="page"/>
      </w:r>
    </w:p>
    <w:p w14:paraId="4223F58B" w14:textId="51F8287B" w:rsidR="009F5F1F" w:rsidRPr="00C77FF0" w:rsidRDefault="00E95EE5" w:rsidP="009F5F1F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lastRenderedPageBreak/>
        <w:t>Uticaj</w:t>
      </w:r>
      <w:r w:rsidR="009F5F1F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Procjena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)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direktnih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drugih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pozitivnih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/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negativnih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efekata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SRP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D40B7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polučio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uključujući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analizu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„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šansi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“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napredak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prema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AF2A97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integrir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anom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pametnom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održivom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inkluzivnom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razvoju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705EB" w:rsidRPr="00F705EB" w14:paraId="72BB6E7C" w14:textId="77777777" w:rsidTr="00507547">
        <w:trPr>
          <w:trHeight w:val="466"/>
        </w:trPr>
        <w:tc>
          <w:tcPr>
            <w:tcW w:w="2830" w:type="dxa"/>
            <w:shd w:val="clear" w:color="auto" w:fill="44546A" w:themeFill="text2"/>
            <w:vAlign w:val="center"/>
          </w:tcPr>
          <w:p w14:paraId="788FB002" w14:textId="77777777" w:rsidR="009F5F1F" w:rsidRPr="00F705EB" w:rsidRDefault="009F5F1F" w:rsidP="00D40B7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  <w:vAlign w:val="center"/>
          </w:tcPr>
          <w:p w14:paraId="3B6026C0" w14:textId="7FD6812C" w:rsidR="009F5F1F" w:rsidRPr="00F705EB" w:rsidRDefault="00E95EE5" w:rsidP="00D40B7D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  <w:t>Komentar</w:t>
            </w:r>
          </w:p>
        </w:tc>
      </w:tr>
      <w:tr w:rsidR="009F5F1F" w:rsidRPr="00D40B7D" w14:paraId="3ED91C95" w14:textId="77777777" w:rsidTr="00F705EB">
        <w:tc>
          <w:tcPr>
            <w:tcW w:w="2830" w:type="dxa"/>
            <w:shd w:val="clear" w:color="auto" w:fill="auto"/>
            <w:vAlign w:val="center"/>
          </w:tcPr>
          <w:p w14:paraId="1B8A89FA" w14:textId="599D27CE" w:rsidR="009F5F1F" w:rsidRPr="00D40B7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Šta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dogodilo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pozitivna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posljedica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zašto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2CDC0A46" w14:textId="3570E037" w:rsidR="00F705EB" w:rsidRDefault="00E95EE5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i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1082D9BA" w14:textId="1AAC697C" w:rsidR="009F5F1F" w:rsidRPr="00D40B7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Pozitivna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posljedica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aktivnosti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navedenih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kroz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ima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rezultat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povećan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stepena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razumijevanja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procesa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unutar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ali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svrhe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potrebe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procesa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pa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ima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planski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dokument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osnovu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kojeg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sistemski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upravlja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vlastitim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mandatom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realnije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postavljaju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rokovi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preciznije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određuju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ciljne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vrijednosti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 w:rsidR="002F306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definiraju </w:t>
            </w:r>
            <w:r w:rsidR="005B371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pokazatelji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sl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.).</w:t>
            </w:r>
          </w:p>
          <w:p w14:paraId="06E77430" w14:textId="695564F3" w:rsidR="009F5F1F" w:rsidRPr="00D40B7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Uloga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koordinatora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procesa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dobrim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dijelom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prepoznata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strane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organizacionih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jedinica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dato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joj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značaju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što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direktno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uticalo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povećanje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stepena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komunikacije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protoka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informacija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između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organizacionih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jedinica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 w:rsidR="0042664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Također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prepoznati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F705E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praksu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uvedeni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redovni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pojedinačni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sastanci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praćenje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planskih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dokumenata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78611114" w14:textId="73334EEA" w:rsidR="009F5F1F" w:rsidRPr="00D40B7D" w:rsidRDefault="00E95EE5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Olakšan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pristup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informacijama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sistematski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pohranjene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izvještaje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kao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posebne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analize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rada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OT</w:t>
            </w:r>
            <w:r w:rsidR="0039389C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)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D40B7D" w14:paraId="619FDAA4" w14:textId="77777777" w:rsidTr="00F705EB">
        <w:tc>
          <w:tcPr>
            <w:tcW w:w="2830" w:type="dxa"/>
            <w:shd w:val="clear" w:color="auto" w:fill="auto"/>
            <w:vAlign w:val="center"/>
          </w:tcPr>
          <w:p w14:paraId="2A2A64C2" w14:textId="410C2884" w:rsidR="009F5F1F" w:rsidRPr="00D40B7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Kakve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realne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efekte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632CC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provedene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aktivnosti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imaju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korisnike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širu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zajednicu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društvo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37683E25" w14:textId="480DB1EC" w:rsidR="00F705EB" w:rsidRDefault="00E95EE5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D40B7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D40B7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i</w:t>
            </w:r>
            <w:r w:rsidR="00F70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</w:t>
            </w:r>
            <w:r w:rsidR="009F5F1F" w:rsidRPr="00D40B7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:</w:t>
            </w:r>
          </w:p>
          <w:p w14:paraId="3524D8D9" w14:textId="1ECDA0DA" w:rsidR="009F5F1F" w:rsidRPr="00D40B7D" w:rsidRDefault="00E95EE5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Kada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govorimo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uticaju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sistematskog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korisnike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širu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zajednicu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društvo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ista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ogleda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većem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stepenu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aktivnosti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interesa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iste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bili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značajno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umanjeni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nije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uspostavljena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funkcija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1A7ABE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npr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pitanja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udruženja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građana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vođenje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registara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udruženja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građana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nevladinih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djeluju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teritoriji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A2ED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stručnih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upravnih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ispita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omogućavanje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elektronskih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konsultacija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sl</w:t>
            </w:r>
            <w:r w:rsidR="009F5F1F" w:rsidRPr="00D40B7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.).</w:t>
            </w:r>
          </w:p>
        </w:tc>
      </w:tr>
    </w:tbl>
    <w:p w14:paraId="4C93AF4D" w14:textId="0FB5B6FB" w:rsidR="009F5F1F" w:rsidRPr="00C77FF0" w:rsidRDefault="00E95EE5" w:rsidP="009F5F1F">
      <w:pPr>
        <w:spacing w:before="120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>Održivost</w:t>
      </w:r>
      <w:r w:rsidR="009F5F1F" w:rsidRPr="00C77FF0"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  <w:t xml:space="preserve">: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Vrednovanje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kako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kojoj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mjeri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će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se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prednosti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SPR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MP</w:t>
      </w:r>
      <w:r w:rsidR="00F705E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F705E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nastaviti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nakon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završetka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svih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aktivnosti</w:t>
      </w:r>
      <w:r w:rsidR="009F5F1F"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705EB" w:rsidRPr="006D378D" w14:paraId="4DFE5BAD" w14:textId="77777777" w:rsidTr="00507547">
        <w:trPr>
          <w:trHeight w:val="401"/>
        </w:trPr>
        <w:tc>
          <w:tcPr>
            <w:tcW w:w="2830" w:type="dxa"/>
            <w:shd w:val="clear" w:color="auto" w:fill="44546A" w:themeFill="text2"/>
            <w:vAlign w:val="center"/>
          </w:tcPr>
          <w:p w14:paraId="58B90220" w14:textId="77777777" w:rsidR="009F5F1F" w:rsidRPr="006D378D" w:rsidRDefault="009F5F1F" w:rsidP="00F705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shd w:val="pct15" w:color="auto" w:fill="FFFFFF"/>
                <w:lang w:val="bs-Latn-BA"/>
              </w:rPr>
            </w:pPr>
          </w:p>
        </w:tc>
        <w:tc>
          <w:tcPr>
            <w:tcW w:w="6230" w:type="dxa"/>
            <w:shd w:val="clear" w:color="auto" w:fill="44546A" w:themeFill="text2"/>
            <w:vAlign w:val="center"/>
          </w:tcPr>
          <w:p w14:paraId="4C9367B5" w14:textId="78A1F708" w:rsidR="009F5F1F" w:rsidRPr="006D378D" w:rsidRDefault="00E95EE5" w:rsidP="00F705EB">
            <w:pPr>
              <w:jc w:val="center"/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0"/>
                <w:szCs w:val="20"/>
                <w:lang w:val="bs-Latn-BA"/>
              </w:rPr>
              <w:t>Komentar</w:t>
            </w:r>
          </w:p>
        </w:tc>
      </w:tr>
      <w:tr w:rsidR="009F5F1F" w:rsidRPr="006D378D" w14:paraId="31B979E2" w14:textId="77777777" w:rsidTr="00F705EB">
        <w:tc>
          <w:tcPr>
            <w:tcW w:w="2830" w:type="dxa"/>
            <w:shd w:val="clear" w:color="auto" w:fill="auto"/>
            <w:vAlign w:val="center"/>
          </w:tcPr>
          <w:p w14:paraId="320FDC48" w14:textId="18A37611" w:rsidR="009F5F1F" w:rsidRPr="006D378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kojoj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mjeri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koristi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nastavljaju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nakon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završetka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2582873B" w14:textId="44D6248B" w:rsidR="00F705EB" w:rsidRPr="006D378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i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1B8AAA71" w14:textId="020DC7F4" w:rsidR="009F5F1F" w:rsidRPr="006D378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Koristi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prethodnim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odgovorima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nastavljaju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značajnoj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mjeri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nakon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završetka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983EE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provođenja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obzirom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da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funkciju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dodijelilo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SSPKPEI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sistemski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prati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obavlja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pripremu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SSPKPEI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potiče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druge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organizacione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jedinice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AF2A9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organizirano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upravljanje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svojim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radom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što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prilično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prepoznata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funkcija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koja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službi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pomoći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drugim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organizacionim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jedinicama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pitanju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2237D3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rada</w:t>
            </w:r>
            <w:r w:rsidR="001A7ABE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</w:tr>
      <w:tr w:rsidR="009F5F1F" w:rsidRPr="006D378D" w14:paraId="406BA652" w14:textId="77777777" w:rsidTr="00F705EB">
        <w:tc>
          <w:tcPr>
            <w:tcW w:w="2830" w:type="dxa"/>
            <w:shd w:val="clear" w:color="auto" w:fill="auto"/>
            <w:vAlign w:val="center"/>
          </w:tcPr>
          <w:p w14:paraId="33859BDC" w14:textId="651889FA" w:rsidR="009F5F1F" w:rsidRPr="006D378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su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glavni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faktori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uslijed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kojih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ni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postignuta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održivost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?</w:t>
            </w:r>
          </w:p>
        </w:tc>
        <w:tc>
          <w:tcPr>
            <w:tcW w:w="6230" w:type="dxa"/>
            <w:vAlign w:val="center"/>
          </w:tcPr>
          <w:p w14:paraId="27B908B6" w14:textId="73E030E9" w:rsidR="00F705EB" w:rsidRPr="006D378D" w:rsidRDefault="00E95EE5" w:rsidP="00F705EB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Srednjoročni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cilj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>i</w:t>
            </w:r>
            <w:r w:rsidR="009F5F1F" w:rsidRPr="006D378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s-Latn-BA"/>
              </w:rPr>
              <w:t xml:space="preserve"> 2:</w:t>
            </w:r>
          </w:p>
          <w:p w14:paraId="008FF408" w14:textId="2C255E7F" w:rsidR="00F705EB" w:rsidRPr="006D378D" w:rsidRDefault="00E95EE5" w:rsidP="00F705E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odgovoru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prethodno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pitanje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već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navedeno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kojoj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mjeri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se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nastavljaju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koristi</w:t>
            </w:r>
            <w:r w:rsidR="00F7404A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SPR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2D917614" w14:textId="30E74B8E" w:rsidR="009F5F1F" w:rsidRPr="006D378D" w:rsidRDefault="00E95EE5" w:rsidP="003A0A4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Uspostavljanje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SSPKPEI</w:t>
            </w:r>
            <w:r w:rsidR="00F705E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kao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jedinice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strateško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planiranje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je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najvećim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dijelom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doprinijelo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održivosti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procesa</w:t>
            </w:r>
            <w:r w:rsidR="007D7560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planiranja</w:t>
            </w:r>
            <w:r w:rsidR="003A0A4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="003A0A4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MP</w:t>
            </w:r>
            <w:r w:rsidR="003A0A4B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  <w:r w:rsidR="009F5F1F" w:rsidRPr="006D378D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</w:tc>
      </w:tr>
    </w:tbl>
    <w:p w14:paraId="7CD880F3" w14:textId="77777777" w:rsidR="009F5F1F" w:rsidRPr="00C77FF0" w:rsidRDefault="009F5F1F" w:rsidP="009F5F1F">
      <w:pPr>
        <w:spacing w:before="240" w:after="120"/>
        <w:jc w:val="both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 w:bidi="as-IN"/>
        </w:rPr>
      </w:pPr>
      <w:r w:rsidRPr="00C77F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 w:bidi="as-IN"/>
        </w:rPr>
        <w:br w:type="page"/>
      </w:r>
    </w:p>
    <w:p w14:paraId="18D7D4AE" w14:textId="0DFDCFFA" w:rsidR="009F5F1F" w:rsidRPr="00230F08" w:rsidRDefault="00E95EE5" w:rsidP="004A2D64">
      <w:pPr>
        <w:pStyle w:val="Heading1"/>
        <w:numPr>
          <w:ilvl w:val="0"/>
          <w:numId w:val="22"/>
        </w:numPr>
        <w:spacing w:before="0" w:after="80" w:line="240" w:lineRule="auto"/>
        <w:ind w:left="714" w:hanging="357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</w:pPr>
      <w:bookmarkStart w:id="7" w:name="_Toc112075071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ZAKLjUČCI</w:t>
      </w:r>
      <w:r w:rsidR="00230F08" w:rsidRPr="00230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I</w:t>
      </w:r>
      <w:r w:rsidR="00230F08" w:rsidRPr="00230F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TW" w:bidi="as-IN"/>
        </w:rPr>
        <w:t>PREPORUKE</w:t>
      </w:r>
      <w:bookmarkEnd w:id="7"/>
    </w:p>
    <w:p w14:paraId="2B06C7FE" w14:textId="504EA046" w:rsidR="006E3768" w:rsidRPr="004A2D64" w:rsidRDefault="00E95EE5" w:rsidP="004A2D64">
      <w:pPr>
        <w:spacing w:after="80" w:line="240" w:lineRule="auto"/>
        <w:ind w:left="-142"/>
        <w:jc w:val="both"/>
        <w:rPr>
          <w:rFonts w:ascii="Times New Roman" w:hAnsi="Times New Roman" w:cs="Times New Roman"/>
          <w:sz w:val="23"/>
          <w:szCs w:val="23"/>
          <w:lang w:eastAsia="zh-TW" w:bidi="as-IN"/>
        </w:rPr>
      </w:pPr>
      <w:r>
        <w:rPr>
          <w:rFonts w:ascii="Times New Roman" w:hAnsi="Times New Roman" w:cs="Times New Roman"/>
          <w:sz w:val="23"/>
          <w:szCs w:val="23"/>
          <w:lang w:eastAsia="zh-TW" w:bidi="as-IN"/>
        </w:rPr>
        <w:t>Analiza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podataka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hAnsi="Times New Roman" w:cs="Times New Roman"/>
          <w:sz w:val="23"/>
          <w:szCs w:val="23"/>
          <w:lang w:eastAsia="zh-TW" w:bidi="as-IN"/>
        </w:rPr>
        <w:t>provođenju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SPR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MP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ali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drugih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dokumenata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funkciji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pružanja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podrške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procesu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narednog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ciklusa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planiranja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odnosu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zadane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početne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očekivanja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Rezultati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srednjoročnog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pregleda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mogu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pružiti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informacije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napretku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ostvarenju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izazovima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pojavili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preporukama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dokumente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nove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generacije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nakon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2020.).</w:t>
      </w:r>
    </w:p>
    <w:p w14:paraId="3E331844" w14:textId="209C031C" w:rsidR="00B932E5" w:rsidRPr="004A2D64" w:rsidRDefault="00E95EE5" w:rsidP="004A2D64">
      <w:pPr>
        <w:spacing w:after="80" w:line="240" w:lineRule="auto"/>
        <w:ind w:left="-142"/>
        <w:jc w:val="both"/>
        <w:rPr>
          <w:rFonts w:ascii="Times New Roman" w:hAnsi="Times New Roman" w:cs="Times New Roman"/>
          <w:b/>
          <w:sz w:val="23"/>
          <w:szCs w:val="23"/>
          <w:lang w:eastAsia="zh-TW" w:bidi="as-IN"/>
        </w:rPr>
      </w:pP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U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nastavku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su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preporuke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i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zaključci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dani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u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odnosu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na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kriterije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lang w:eastAsia="zh-TW" w:bidi="as-IN"/>
        </w:rPr>
        <w:t>evaluacije</w:t>
      </w:r>
      <w:r w:rsidR="00B932E5" w:rsidRPr="004A2D64">
        <w:rPr>
          <w:rFonts w:ascii="Times New Roman" w:hAnsi="Times New Roman" w:cs="Times New Roman"/>
          <w:b/>
          <w:sz w:val="23"/>
          <w:szCs w:val="23"/>
          <w:lang w:eastAsia="zh-TW" w:bidi="as-IN"/>
        </w:rPr>
        <w:t>:</w:t>
      </w:r>
    </w:p>
    <w:p w14:paraId="4936BCFF" w14:textId="41A2DAFA" w:rsidR="004B7BF3" w:rsidRPr="004A2D64" w:rsidRDefault="00E95EE5" w:rsidP="004A2D64">
      <w:pPr>
        <w:spacing w:after="80" w:line="240" w:lineRule="auto"/>
        <w:ind w:left="-142"/>
        <w:jc w:val="both"/>
        <w:rPr>
          <w:rFonts w:ascii="Times New Roman" w:hAnsi="Times New Roman" w:cs="Times New Roman"/>
          <w:sz w:val="23"/>
          <w:szCs w:val="23"/>
          <w:lang w:eastAsia="zh-TW" w:bidi="as-IN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Relevantnost</w:t>
      </w:r>
      <w:r w:rsidR="003A0A4B" w:rsidRPr="004A2D64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="003A0A4B" w:rsidRPr="004A2D6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Strateški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posebni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odgovaraju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prvobitno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evidentirane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probleme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potrebe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ostaju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dalje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aktuelni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kako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prepoznato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strateškom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okviru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sektora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pravde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uprave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Strateške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intervencije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Strategije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reforma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sektora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pravde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BiH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nisu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realiz</w:t>
      </w:r>
      <w:r w:rsidR="00E14BFD">
        <w:rPr>
          <w:rFonts w:ascii="Times New Roman" w:hAnsi="Times New Roman" w:cs="Times New Roman"/>
          <w:sz w:val="23"/>
          <w:szCs w:val="23"/>
          <w:lang w:eastAsia="zh-TW" w:bidi="as-IN"/>
        </w:rPr>
        <w:t>irane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proteklom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periodu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jednim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svojim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dijelom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dalje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ostaju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relevantne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posebno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oblasti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normativno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-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pravnih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propisa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potrebno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ih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pažljivo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uzeti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obzir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E14BFD">
        <w:rPr>
          <w:rFonts w:ascii="Times New Roman" w:hAnsi="Times New Roman" w:cs="Times New Roman"/>
          <w:sz w:val="23"/>
          <w:szCs w:val="23"/>
          <w:lang w:eastAsia="zh-TW" w:bidi="as-IN"/>
        </w:rPr>
        <w:t>definir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programa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projekata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MP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doprinosi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reformama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Vrlo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značajno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buduće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posvetiti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pažnju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analizama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politika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alternativnim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načinima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hAnsi="Times New Roman" w:cs="Times New Roman"/>
          <w:sz w:val="23"/>
          <w:szCs w:val="23"/>
          <w:lang w:eastAsia="zh-TW" w:bidi="as-IN"/>
        </w:rPr>
        <w:t>provođenja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posebno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slučajevima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intervencija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nose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veliki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uticaj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ali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sebi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sadrže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rizike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će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velikom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vjerovatnoćom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pojaviti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Kada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pitanju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uprava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potrebno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dodatno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uzeti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obzir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intervencije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prethodne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Strategije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reformu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javne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uprave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nisu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sve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632CCD">
        <w:rPr>
          <w:rFonts w:ascii="Times New Roman" w:hAnsi="Times New Roman" w:cs="Times New Roman"/>
          <w:sz w:val="23"/>
          <w:szCs w:val="23"/>
          <w:lang w:eastAsia="zh-TW" w:bidi="as-IN"/>
        </w:rPr>
        <w:t>provedene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dobrim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dijelom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preuzete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novi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strateški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okvir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Shodno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tome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MP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BiH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voditelj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politika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oblasti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uprave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treba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voditi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računa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slijedi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planiranje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tih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aktivnosti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izvrši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integraciju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vlastite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dokumente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predviđajući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alternativne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načine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hAnsi="Times New Roman" w:cs="Times New Roman"/>
          <w:sz w:val="23"/>
          <w:szCs w:val="23"/>
          <w:lang w:eastAsia="zh-TW" w:bidi="as-IN"/>
        </w:rPr>
        <w:t>provođenja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aktivnosti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uzimaju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obzir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vanjske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unutrašnje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uticaje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rizike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983EEA">
        <w:rPr>
          <w:rFonts w:ascii="Times New Roman" w:hAnsi="Times New Roman" w:cs="Times New Roman"/>
          <w:sz w:val="23"/>
          <w:szCs w:val="23"/>
          <w:lang w:eastAsia="zh-TW" w:bidi="as-IN"/>
        </w:rPr>
        <w:t>provođenju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jasnim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protivmjerama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ublažavanje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ovom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trenutku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kapaciteti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planiranje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MP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BiH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su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fazi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razvoja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što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vidljivo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predmetnom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dokumentu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prilikom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E14BFD">
        <w:rPr>
          <w:rFonts w:ascii="Times New Roman" w:hAnsi="Times New Roman" w:cs="Times New Roman"/>
          <w:sz w:val="23"/>
          <w:szCs w:val="23"/>
          <w:lang w:eastAsia="zh-TW" w:bidi="as-IN"/>
        </w:rPr>
        <w:t>definiranja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aktivnosti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aktivnosti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.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Ranije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već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istaknuto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kako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zapaža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napredak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pogledu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smanjenja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obima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dokumenta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E14BFD">
        <w:rPr>
          <w:rFonts w:ascii="Times New Roman" w:hAnsi="Times New Roman" w:cs="Times New Roman"/>
          <w:sz w:val="23"/>
          <w:szCs w:val="23"/>
          <w:lang w:eastAsia="zh-TW" w:bidi="as-IN"/>
        </w:rPr>
        <w:t>grupir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anju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aktivnosti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kao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iznalaženju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bolje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određenih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preciznijih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pokazatelja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skladu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tim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tendencija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unapređenjem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procesa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planiranja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jasna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ali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udovoljilo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zahtjevima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kriterija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relevantnosti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potrebno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nadalje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prema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potrebama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omogućiti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razvoj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kapaciteta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kako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otklonile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neusklađenosti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između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programa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projekata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,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uspostavila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jasnija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između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istih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bolja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povezanost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između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planskih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evaluacijskih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dokumenata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Neophodno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nastaviti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rad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povezivanju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dokumenata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raspoloživim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finansijskim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sredstvima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taj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način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unaprijediti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proces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prioritetizacije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 w:rsidR="00E14BFD">
        <w:rPr>
          <w:rFonts w:ascii="Times New Roman" w:hAnsi="Times New Roman" w:cs="Times New Roman"/>
          <w:sz w:val="23"/>
          <w:szCs w:val="23"/>
          <w:lang w:eastAsia="zh-TW" w:bidi="as-IN"/>
        </w:rPr>
        <w:t>kandidranja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projektnih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intervencija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Tokom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druge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evaluacije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uočava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veća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usklađenost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između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planskih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dokumenata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međusobno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00AF66C0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istih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dokumentima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narednim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intervencijama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prilikom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revizija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planskih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dokumenata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skreće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pažnja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vodi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računa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unaprijedi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usklađenost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time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dovodi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pitanje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veza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ciljeva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projektnim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ishodima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.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Dobar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dio</w:t>
      </w:r>
      <w:r w:rsidR="003A0A4B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izazova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ukoliko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izuzmemo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izazove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pandemije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korona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virusa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koja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je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blokirala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sve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na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određeno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vrijeme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te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izmijenila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mnoge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procese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ipak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se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mogu</w:t>
      </w:r>
      <w:r w:rsidR="000F78A3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otkloniti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dosljednijom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primjenom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strateških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smjernica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kao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međusobnom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komunikacijom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i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konsultacijama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sa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zh-TW" w:bidi="as-IN"/>
        </w:rPr>
        <w:t>partnerima</w:t>
      </w:r>
      <w:r w:rsidR="7C1D1F8F" w:rsidRPr="004A2D64">
        <w:rPr>
          <w:rFonts w:ascii="Times New Roman" w:hAnsi="Times New Roman" w:cs="Times New Roman"/>
          <w:sz w:val="23"/>
          <w:szCs w:val="23"/>
          <w:lang w:eastAsia="zh-TW" w:bidi="as-IN"/>
        </w:rPr>
        <w:t>.</w:t>
      </w:r>
    </w:p>
    <w:p w14:paraId="1BFA29C1" w14:textId="10F4050C" w:rsidR="00D30514" w:rsidRDefault="00E95EE5" w:rsidP="004A2D64">
      <w:pPr>
        <w:spacing w:after="120" w:line="240" w:lineRule="auto"/>
        <w:ind w:left="-142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3"/>
          <w:szCs w:val="23"/>
          <w:lang w:val="sr-Cyrl-BA"/>
        </w:rPr>
        <w:t>Efektivnost</w:t>
      </w:r>
      <w:r w:rsidR="002A5A86" w:rsidRPr="004A2D64">
        <w:rPr>
          <w:rFonts w:ascii="Times New Roman" w:hAnsi="Times New Roman" w:cs="Times New Roman"/>
          <w:sz w:val="23"/>
          <w:szCs w:val="23"/>
          <w:lang w:val="hr-HR"/>
        </w:rPr>
        <w:t xml:space="preserve"> - </w:t>
      </w:r>
      <w:r>
        <w:rPr>
          <w:rFonts w:ascii="Times New Roman" w:hAnsi="Times New Roman"/>
          <w:sz w:val="23"/>
          <w:szCs w:val="23"/>
          <w:lang w:val="hr-HR"/>
        </w:rPr>
        <w:t>Posmatrajući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ostvarenje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posebnih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ciljeva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ukupnoj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prosječnoj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visini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preko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83</w:t>
      </w:r>
      <w:r w:rsidR="003A0A4B" w:rsidRPr="004A2D64">
        <w:rPr>
          <w:rFonts w:ascii="Times New Roman" w:hAnsi="Times New Roman"/>
          <w:sz w:val="23"/>
          <w:szCs w:val="23"/>
          <w:lang w:val="hr-HR"/>
        </w:rPr>
        <w:t>%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očito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kako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radi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ograničenom</w:t>
      </w:r>
      <w:r w:rsidR="003A0A4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napretku</w:t>
      </w:r>
      <w:r w:rsidR="003A0A4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koji</w:t>
      </w:r>
      <w:r w:rsidR="003A0A4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</w:t>
      </w:r>
      <w:r w:rsidR="003A0A4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prouzrokovan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ostvarenjem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ključnih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rizika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proceduralnih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poteškoća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/>
          <w:sz w:val="23"/>
          <w:szCs w:val="23"/>
          <w:lang w:val="hr-HR"/>
        </w:rPr>
        <w:t>te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slabije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komunikacije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/>
          <w:sz w:val="23"/>
          <w:szCs w:val="23"/>
          <w:lang w:val="hr-HR"/>
        </w:rPr>
        <w:t>saradnje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koordinacije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drugim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institucijama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. </w:t>
      </w:r>
      <w:r>
        <w:rPr>
          <w:rFonts w:ascii="Times New Roman" w:hAnsi="Times New Roman"/>
          <w:sz w:val="23"/>
          <w:szCs w:val="23"/>
          <w:lang w:val="hr-HR"/>
        </w:rPr>
        <w:t>Smatramo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ovaj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postotak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prethodnom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izvještajnim</w:t>
      </w:r>
      <w:r w:rsidR="005B596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periodu</w:t>
      </w:r>
      <w:r w:rsidR="005B596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uticala</w:t>
      </w:r>
      <w:r w:rsidR="005B596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005B596B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pandemija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kojoj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našla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Bosna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Hercegovina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/>
          <w:sz w:val="23"/>
          <w:szCs w:val="23"/>
          <w:lang w:val="hr-HR"/>
        </w:rPr>
        <w:t>ali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sa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druge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strane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važan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momenat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uspostavljanje</w:t>
      </w:r>
      <w:r w:rsidR="006211E6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funkcija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upravljanja</w:t>
      </w:r>
      <w:r w:rsidR="000F78A3" w:rsidRPr="004A2D64">
        <w:rPr>
          <w:rFonts w:ascii="Times New Roman" w:hAnsi="Times New Roman"/>
          <w:sz w:val="23"/>
          <w:szCs w:val="23"/>
          <w:lang w:val="hr-HR"/>
        </w:rPr>
        <w:t xml:space="preserve">. </w:t>
      </w:r>
      <w:r>
        <w:rPr>
          <w:rFonts w:ascii="Times New Roman" w:hAnsi="Times New Roman"/>
          <w:sz w:val="23"/>
          <w:szCs w:val="23"/>
          <w:lang w:val="hr-HR"/>
        </w:rPr>
        <w:t>Ističemo</w:t>
      </w:r>
      <w:r w:rsidR="000F78A3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da</w:t>
      </w:r>
      <w:r w:rsidR="000F78A3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MP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BiH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prepoznao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trenutak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reforme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javne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uprave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prvi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uveo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jedinicu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za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strateško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planiranje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>,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koja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dobrim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dijelom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doprinosi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sistemski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način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planira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prati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rad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MP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BiH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. </w:t>
      </w:r>
      <w:r>
        <w:rPr>
          <w:rFonts w:ascii="Times New Roman" w:hAnsi="Times New Roman"/>
          <w:sz w:val="23"/>
          <w:szCs w:val="23"/>
          <w:lang w:val="hr-HR"/>
        </w:rPr>
        <w:t>Isto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tako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>,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kao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kod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kriterija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relevantnosti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>,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smatramo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kapaciteti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MP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BiH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predstavljaju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ključ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za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povećanje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stepena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učinkovitosti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/>
          <w:sz w:val="23"/>
          <w:szCs w:val="23"/>
          <w:lang w:val="hr-HR"/>
        </w:rPr>
        <w:t>ali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potreba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za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većim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jedinstvom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timskim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radom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rukovodstva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MP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BiH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upravljanju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rezultatima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radom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>,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kako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bi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odgovorilo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na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dinamičku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prirodu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poslova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u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zadanom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okruženju</w:t>
      </w:r>
      <w:r w:rsidR="0000583A" w:rsidRPr="004A2D64">
        <w:rPr>
          <w:rFonts w:ascii="Times New Roman" w:hAnsi="Times New Roman"/>
          <w:sz w:val="23"/>
          <w:szCs w:val="23"/>
          <w:lang w:val="hr-HR"/>
        </w:rPr>
        <w:t>,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kroz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sastanke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koordinacije</w:t>
      </w:r>
      <w:r w:rsidR="7C1D1F8F" w:rsidRPr="004A2D64">
        <w:rPr>
          <w:rFonts w:ascii="Times New Roman" w:hAnsi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/>
          <w:sz w:val="23"/>
          <w:szCs w:val="23"/>
          <w:lang w:val="hr-HR"/>
        </w:rPr>
        <w:t>planiranja</w:t>
      </w:r>
      <w:r w:rsidR="00D30514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i</w:t>
      </w:r>
      <w:r w:rsidR="00D30514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praćenja</w:t>
      </w:r>
      <w:r w:rsidR="00D30514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rezultata</w:t>
      </w:r>
      <w:r w:rsidR="00D30514" w:rsidRPr="004A2D64">
        <w:rPr>
          <w:rFonts w:ascii="Times New Roman" w:hAnsi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/>
          <w:sz w:val="23"/>
          <w:szCs w:val="23"/>
          <w:lang w:val="hr-HR"/>
        </w:rPr>
        <w:t>rada</w:t>
      </w:r>
      <w:r w:rsidR="00D30514" w:rsidRPr="004A2D64">
        <w:rPr>
          <w:rFonts w:ascii="Times New Roman" w:hAnsi="Times New Roman"/>
          <w:sz w:val="23"/>
          <w:szCs w:val="23"/>
          <w:lang w:val="hr-HR"/>
        </w:rPr>
        <w:t>.</w:t>
      </w:r>
      <w:r w:rsidR="00D30514">
        <w:rPr>
          <w:rFonts w:ascii="Times New Roman" w:hAnsi="Times New Roman"/>
          <w:sz w:val="24"/>
          <w:szCs w:val="24"/>
          <w:lang w:val="hr-HR"/>
        </w:rPr>
        <w:br w:type="page"/>
      </w:r>
    </w:p>
    <w:p w14:paraId="3BCE4F1A" w14:textId="04A22D20" w:rsidR="00224E5A" w:rsidRPr="000F78A3" w:rsidRDefault="00E95EE5" w:rsidP="004A2D64">
      <w:pPr>
        <w:spacing w:after="120" w:line="240" w:lineRule="auto"/>
        <w:ind w:left="-142"/>
        <w:jc w:val="both"/>
        <w:rPr>
          <w:rFonts w:cs="Arial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Uzimajući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obzir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kako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zadnja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analiza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funkcionalnosti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javne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uprave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urađena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još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2003. </w:t>
      </w:r>
      <w:r>
        <w:rPr>
          <w:rFonts w:ascii="Times New Roman" w:hAnsi="Times New Roman"/>
          <w:sz w:val="24"/>
          <w:szCs w:val="24"/>
          <w:lang w:val="hr-HR"/>
        </w:rPr>
        <w:t>godine</w:t>
      </w:r>
      <w:r w:rsidR="0000583A" w:rsidRPr="000F78A3"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MP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BiH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dodatno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povećanje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stepena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učinkovitosti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preporučuje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razmatranje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mandata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misije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MP</w:t>
      </w:r>
      <w:r w:rsidR="0000583A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BiH</w:t>
      </w:r>
      <w:r w:rsidR="0000583A" w:rsidRPr="000F78A3">
        <w:rPr>
          <w:rFonts w:ascii="Times New Roman" w:hAnsi="Times New Roman"/>
          <w:sz w:val="24"/>
          <w:szCs w:val="24"/>
          <w:lang w:val="hr-HR"/>
        </w:rPr>
        <w:t>,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kako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bi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mogla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odrediti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uloga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odgovornost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MP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BiH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sistemu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pravde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uprave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te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na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taj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način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djelovati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na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unapređenje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procedura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kao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poboljšanje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komunikacije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koordinacije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posebno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saradnje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drugim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institucijama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kojima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dijeli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odgovornost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za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strateške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ciljeve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time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ostvarenje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vlastitih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ciljeva</w:t>
      </w:r>
      <w:r w:rsidR="7C1D1F8F" w:rsidRPr="000F78A3">
        <w:rPr>
          <w:rFonts w:ascii="Times New Roman" w:hAnsi="Times New Roman"/>
          <w:sz w:val="24"/>
          <w:szCs w:val="24"/>
          <w:lang w:val="hr-HR"/>
        </w:rPr>
        <w:t>.</w:t>
      </w:r>
    </w:p>
    <w:p w14:paraId="74BD714F" w14:textId="269792B0" w:rsidR="000E726A" w:rsidRPr="000F78A3" w:rsidRDefault="00E95EE5" w:rsidP="004A2D64">
      <w:pPr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Efikasnost</w:t>
      </w:r>
      <w:r w:rsidR="002A5A86" w:rsidRPr="000F78A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uloženog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naspram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odgovorima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zadatak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otežan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rizicima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alternativni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izrađuju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Gledano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perspektive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iste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značajan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ciljane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0583A" w:rsidRPr="000F78A3">
        <w:rPr>
          <w:rFonts w:ascii="Times New Roman" w:hAnsi="Times New Roman" w:cs="Times New Roman"/>
          <w:sz w:val="24"/>
          <w:szCs w:val="24"/>
        </w:rPr>
        <w:t>,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mjereno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izvještajima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npr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registar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zaloga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registar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fondacija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pravosudni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uzimajući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</w:t>
      </w:r>
      <w:r w:rsidR="00E14BFD">
        <w:rPr>
          <w:rFonts w:ascii="Times New Roman" w:hAnsi="Times New Roman" w:cs="Times New Roman"/>
          <w:sz w:val="24"/>
          <w:szCs w:val="24"/>
        </w:rPr>
        <w:t>ciranja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formul</w:t>
      </w:r>
      <w:r w:rsidR="00E14BFD">
        <w:rPr>
          <w:rFonts w:ascii="Times New Roman" w:hAnsi="Times New Roman" w:cs="Times New Roman"/>
          <w:sz w:val="24"/>
          <w:szCs w:val="24"/>
        </w:rPr>
        <w:t>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pripadajućih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početak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Shodno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otežano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potreban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A2ED5">
        <w:rPr>
          <w:rFonts w:ascii="Times New Roman" w:hAnsi="Times New Roman" w:cs="Times New Roman"/>
          <w:sz w:val="24"/>
          <w:szCs w:val="24"/>
        </w:rPr>
        <w:t>provođenje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ocjenu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A537F1">
        <w:rPr>
          <w:rFonts w:ascii="Times New Roman" w:hAnsi="Times New Roman" w:cs="Times New Roman"/>
          <w:sz w:val="24"/>
          <w:szCs w:val="24"/>
        </w:rPr>
        <w:t>nastojanje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A537F1">
        <w:rPr>
          <w:rFonts w:ascii="Times New Roman" w:hAnsi="Times New Roman" w:cs="Times New Roman"/>
          <w:sz w:val="24"/>
          <w:szCs w:val="24"/>
        </w:rPr>
        <w:t>planiranja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srednjoročnom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A537F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preciznije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ograničavati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usmjeravati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optimizirati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pažljivije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sagledati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oslanja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 w:rsidR="009A2ED5">
        <w:rPr>
          <w:rFonts w:ascii="Times New Roman" w:hAnsi="Times New Roman" w:cs="Times New Roman"/>
          <w:sz w:val="24"/>
          <w:szCs w:val="24"/>
        </w:rPr>
        <w:t>provođenje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projektnih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specifičnim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znanjima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uspješno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apliciraju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projekte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vanjske</w:t>
      </w:r>
      <w:r w:rsid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955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Metodološki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govoreći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strateškog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uvijek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razdvojeni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neujednačeni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Evaluacijom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djelimično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približeni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drugom</w:t>
      </w:r>
      <w:r w:rsidR="0000583A" w:rsidRPr="000F78A3">
        <w:rPr>
          <w:rFonts w:ascii="Times New Roman" w:hAnsi="Times New Roman" w:cs="Times New Roman"/>
          <w:sz w:val="24"/>
          <w:szCs w:val="24"/>
        </w:rPr>
        <w:t>,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izjednačavanje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planskom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7C1D1F8F" w:rsidRPr="000F78A3">
        <w:rPr>
          <w:rFonts w:ascii="Times New Roman" w:hAnsi="Times New Roman" w:cs="Times New Roman"/>
          <w:sz w:val="24"/>
          <w:szCs w:val="24"/>
        </w:rPr>
        <w:t>.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daljem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intenzivi</w:t>
      </w:r>
      <w:r w:rsidR="00E14BFD">
        <w:rPr>
          <w:rFonts w:ascii="Times New Roman" w:hAnsi="Times New Roman" w:cs="Times New Roman"/>
          <w:sz w:val="24"/>
          <w:szCs w:val="24"/>
          <w:lang w:val="sr-Cyrl-BA"/>
        </w:rPr>
        <w:t>r</w:t>
      </w:r>
      <w:r>
        <w:rPr>
          <w:rFonts w:ascii="Times New Roman" w:hAnsi="Times New Roman" w:cs="Times New Roman"/>
          <w:sz w:val="24"/>
          <w:szCs w:val="24"/>
        </w:rPr>
        <w:t>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približavanju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planerima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projiciranje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00583A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E14BFD">
        <w:rPr>
          <w:rFonts w:ascii="Times New Roman" w:hAnsi="Times New Roman" w:cs="Times New Roman"/>
          <w:sz w:val="24"/>
          <w:szCs w:val="24"/>
        </w:rPr>
        <w:t>standardizira</w:t>
      </w:r>
      <w:r>
        <w:rPr>
          <w:rFonts w:ascii="Times New Roman" w:hAnsi="Times New Roman" w:cs="Times New Roman"/>
          <w:sz w:val="24"/>
          <w:szCs w:val="24"/>
        </w:rPr>
        <w:t>nih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izračuna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7C1D1F8F" w:rsidRPr="000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istih</w:t>
      </w:r>
      <w:r w:rsidR="7C1D1F8F" w:rsidRPr="000F78A3">
        <w:rPr>
          <w:rFonts w:ascii="Times New Roman" w:hAnsi="Times New Roman" w:cs="Times New Roman"/>
          <w:sz w:val="24"/>
          <w:szCs w:val="24"/>
        </w:rPr>
        <w:t>.</w:t>
      </w:r>
    </w:p>
    <w:p w14:paraId="380304AC" w14:textId="0D7EB14A" w:rsidR="005B596B" w:rsidRDefault="00E95EE5" w:rsidP="004A2D64">
      <w:pPr>
        <w:spacing w:after="120" w:line="240" w:lineRule="auto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Uticaj</w:t>
      </w:r>
      <w:r w:rsidR="002A5A86" w:rsidRPr="00955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A86" w:rsidRPr="009556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posmatranom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očituje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prvenstveno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osnaženim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kapacitetima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00583A" w:rsidRPr="0095567B">
        <w:rPr>
          <w:rFonts w:ascii="Times New Roman" w:hAnsi="Times New Roman" w:cs="Times New Roman"/>
          <w:sz w:val="24"/>
          <w:szCs w:val="24"/>
        </w:rPr>
        <w:t>,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dijaloga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djelimično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normativno</w:t>
      </w:r>
      <w:r w:rsidR="0000583A" w:rsidRPr="00955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rješavanje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pravde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rađene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strateških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dokumenata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poslužile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evaluaciji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vlastitu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ocjenu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planskog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Jedinu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poveznicu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odrediti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partnerske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razdvojiti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vlastitog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Preporučuje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BiH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resurse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narednim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ciklusima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usmjeri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 w:rsidR="00983EEA">
        <w:rPr>
          <w:rFonts w:ascii="Times New Roman" w:hAnsi="Times New Roman" w:cs="Times New Roman"/>
          <w:sz w:val="24"/>
          <w:szCs w:val="24"/>
        </w:rPr>
        <w:t>provođenju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srednjoročnih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dugoročnih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jasniju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ovdje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izgradnjom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kapaciteta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usmjerenjem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00583A" w:rsidRPr="0095567B">
        <w:rPr>
          <w:rFonts w:ascii="Times New Roman" w:hAnsi="Times New Roman" w:cs="Times New Roman"/>
          <w:sz w:val="24"/>
          <w:szCs w:val="24"/>
        </w:rPr>
        <w:t>,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vlastitog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razumijevanja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mogao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jasnije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odrediti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planskog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djelovanja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7650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cjelini</w:t>
      </w:r>
      <w:r w:rsidR="00C27650" w:rsidRPr="0095567B">
        <w:rPr>
          <w:rFonts w:ascii="Times New Roman" w:hAnsi="Times New Roman" w:cs="Times New Roman"/>
          <w:sz w:val="24"/>
          <w:szCs w:val="24"/>
        </w:rPr>
        <w:t>.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mogućih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rješavanja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prepoznavanje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pokazatelja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dogovoreni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partnerima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uvedeni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srednjoročnih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posebnih</w:t>
      </w:r>
      <w:r w:rsidR="00FA5806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ciljeva</w:t>
      </w:r>
      <w:r w:rsidR="00FA5806" w:rsidRPr="0095567B">
        <w:rPr>
          <w:rFonts w:ascii="Times New Roman" w:hAnsi="Times New Roman" w:cs="Times New Roman"/>
          <w:sz w:val="24"/>
          <w:szCs w:val="24"/>
        </w:rPr>
        <w:t>.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ovakav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583A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strateških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intervencija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detaljnije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pratio</w:t>
      </w:r>
      <w:r w:rsidR="00FA5806" w:rsidRPr="0095567B">
        <w:rPr>
          <w:rFonts w:ascii="Times New Roman" w:hAnsi="Times New Roman" w:cs="Times New Roman"/>
          <w:sz w:val="24"/>
          <w:szCs w:val="24"/>
        </w:rPr>
        <w:t>,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postigla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 w:rsidR="00426641">
        <w:rPr>
          <w:rFonts w:ascii="Times New Roman" w:hAnsi="Times New Roman" w:cs="Times New Roman"/>
          <w:sz w:val="24"/>
          <w:szCs w:val="24"/>
        </w:rPr>
        <w:t>informiranost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posljedično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veća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involviranost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zadovoljstvo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postignutim</w:t>
      </w:r>
      <w:r w:rsidR="00A33659" w:rsidRPr="0095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rezultatima</w:t>
      </w:r>
      <w:r w:rsidR="00A33659" w:rsidRPr="0095567B">
        <w:rPr>
          <w:rFonts w:ascii="Times New Roman" w:hAnsi="Times New Roman" w:cs="Times New Roman"/>
          <w:sz w:val="24"/>
          <w:szCs w:val="24"/>
        </w:rPr>
        <w:t>.</w:t>
      </w:r>
      <w:r w:rsidR="005B596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2774C44" w14:textId="395DE0CB" w:rsidR="007C4FD7" w:rsidRPr="0095567B" w:rsidRDefault="00E95EE5" w:rsidP="003A0A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Održivost</w:t>
      </w:r>
      <w:r w:rsidR="002A5A86" w:rsidRPr="009556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A86" w:rsidRPr="009556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održivost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ključnih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elemenata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uspjeha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planiranja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>,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ciklus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odražava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kriterije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istog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sebi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>,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plansku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pažljivije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razmotriti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naprijed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odgovarajući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ugraditi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>,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predviđanjem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umanjenje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vjerovatnoće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rizika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nužno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raditi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izgradnji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upravljanje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rizicima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10D66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spomenuto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226">
        <w:rPr>
          <w:rFonts w:ascii="Times New Roman" w:eastAsia="Times New Roman" w:hAnsi="Times New Roman" w:cs="Times New Roman"/>
          <w:sz w:val="24"/>
          <w:szCs w:val="24"/>
        </w:rPr>
        <w:t>definirani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evaluacionog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dokumenta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7F1">
        <w:rPr>
          <w:rFonts w:ascii="Times New Roman" w:eastAsia="Times New Roman" w:hAnsi="Times New Roman" w:cs="Times New Roman"/>
          <w:sz w:val="24"/>
          <w:szCs w:val="24"/>
        </w:rPr>
        <w:t>njegovo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7F1">
        <w:rPr>
          <w:rFonts w:ascii="Times New Roman" w:eastAsia="Times New Roman" w:hAnsi="Times New Roman" w:cs="Times New Roman"/>
          <w:sz w:val="24"/>
          <w:szCs w:val="24"/>
        </w:rPr>
        <w:t>ažuriranje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ukazuju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kontinuiranog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Naizgled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istima</w:t>
      </w:r>
      <w:r w:rsid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željelo</w:t>
      </w:r>
      <w:r w:rsid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ciljati</w:t>
      </w:r>
      <w:r w:rsid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održivost</w:t>
      </w:r>
      <w:r w:rsidR="00955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ostvarenje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boljih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uspjeh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nužno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posveti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uzmu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evaluacije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kriterijima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evaluacije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odraziti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kraju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samu</w:t>
      </w:r>
      <w:r w:rsidR="7C1D1F8F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dugoročnu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održivost</w:t>
      </w:r>
      <w:r w:rsidR="0000583A" w:rsidRPr="00955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57565" w14:textId="573DE5DC" w:rsidR="007C4FD7" w:rsidRPr="00C77FF0" w:rsidRDefault="00E95EE5" w:rsidP="003A0A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Generalno</w:t>
      </w:r>
      <w:r w:rsidR="00955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govoreći</w:t>
      </w:r>
      <w:r w:rsidR="00955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evaluacije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ukazao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potrebu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sistematskim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pristupom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daljem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/>
          <w:sz w:val="24"/>
          <w:szCs w:val="24"/>
        </w:rPr>
        <w:t>provođenju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Preporuke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kriterijima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evaluacije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naglašavaju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važnost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ljudskih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potencijala</w:t>
      </w:r>
      <w:r w:rsidR="007C4FD7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njihovo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stoga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ključna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preporuka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00583A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usmjeri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izgradnju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funkcije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ljudskim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potencijalima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boljem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ciljevima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pojedinaca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taj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stvaranja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sinergijskog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učinka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kojem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zbir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pojedinačnih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uticaja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dovode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ostvarenja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0058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učinaka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pogledu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ispunjenja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njegovog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mandata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misije</w:t>
      </w:r>
      <w:r w:rsidR="002D76FB" w:rsidRPr="00C77F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654902" w14:textId="77777777" w:rsidR="00E65933" w:rsidRDefault="00E659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1AE96BC" w14:textId="5595BFD8" w:rsidR="00B82817" w:rsidRPr="006F0357" w:rsidRDefault="00E95EE5" w:rsidP="00A336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Generalne</w:t>
      </w:r>
      <w:r w:rsidR="006F03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preporuke</w:t>
      </w:r>
      <w:r w:rsidR="00B82817" w:rsidRPr="006F03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82817" w:rsidRPr="006F03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zaključci</w:t>
      </w:r>
      <w:r w:rsidR="00B82817" w:rsidRPr="006F03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1D98F4D" w14:textId="300B67B5" w:rsidR="009F5F1F" w:rsidRPr="00230F08" w:rsidRDefault="00E95EE5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64730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47309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metodološki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izrađen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prema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propisanim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standardima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73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30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prilikom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izrade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narednih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planskih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držati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smjernica</w:t>
      </w:r>
      <w:r w:rsidR="00E64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4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strateško</w:t>
      </w:r>
      <w:r w:rsidR="00E64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</w:t>
      </w:r>
      <w:r w:rsidR="00E64D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5B511F" w14:textId="570DF7C4" w:rsidR="009F5F1F" w:rsidRPr="00230F08" w:rsidRDefault="00E95EE5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Iako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došlo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veće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dosljednosti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usklađenosti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planskih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(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strateških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srednjoročnih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operativnih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izvještaja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međusobno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u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odnosu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institucionalnog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nivoa</w:t>
      </w:r>
      <w:r w:rsidR="009F5F1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nivoom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14BF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Vijeća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ministara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BiH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potrebno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dalje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dužnu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pažnju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posvetiti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ovom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procesu</w:t>
      </w:r>
      <w:r w:rsidR="00E64D1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;</w:t>
      </w:r>
    </w:p>
    <w:p w14:paraId="0443C511" w14:textId="2CEAA6EC" w:rsidR="009F5F1F" w:rsidRPr="00230F08" w:rsidRDefault="00E95EE5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dalje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potrebno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unaprijeđivati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komunikaciju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saradnju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izme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đu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organizacionih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jedinica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planiranju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praćenju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ostvarenja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rezultata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kao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jedan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načina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je</w:t>
      </w:r>
      <w:r w:rsidR="7C1D1F8F" w:rsidRPr="00230F08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uspostavljanje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rukovodećeg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stručnog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upravljanju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promjenama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okupljen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koordinacionom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tijelu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rukovodećih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državnih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službenika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odgovornog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pravde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BiH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6EBD680" w14:textId="55679A09" w:rsidR="009F5F1F" w:rsidRPr="00230F08" w:rsidRDefault="00E95EE5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dalje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potrebno</w:t>
      </w:r>
      <w:r w:rsidR="00E6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učestalost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praćenja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provođenja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srednjoročnog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povećati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godišnjeg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minimalno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polugodišnje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preporučljivo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dostavljanje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podataka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vrši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tromjesečnoj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osnovi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čime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stvorile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pretpostavke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rano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uočavanje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prepreka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prilika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provođenju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službi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ranog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upozoravanja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rukovodstva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donošenje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njihovo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otklanjanje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pokazatelje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određivati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pratiti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prema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dostupnim</w:t>
      </w:r>
      <w:r w:rsidR="7C1D1F8F" w:rsidRPr="00230F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podacima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skladu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SMART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principima</w:t>
      </w:r>
      <w:r w:rsidR="00E65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090B540" w14:textId="09750F25" w:rsidR="009F5F1F" w:rsidRPr="00230F08" w:rsidRDefault="00E95EE5" w:rsidP="00E65933">
      <w:pPr>
        <w:pStyle w:val="ListParagraph"/>
        <w:numPr>
          <w:ilvl w:val="0"/>
          <w:numId w:val="26"/>
        </w:numPr>
        <w:spacing w:after="10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procesima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povećanjem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stepena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ostvarenja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sistematsko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praćenje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/>
          <w:sz w:val="24"/>
          <w:szCs w:val="24"/>
        </w:rPr>
        <w:t>provođenja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aktivnosti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vođenjem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vlastitih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planova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mjesečnih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izvještaja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A860AC1" w14:textId="7DFFBFF8" w:rsidR="009F5F1F" w:rsidRPr="00230F08" w:rsidRDefault="00E95EE5" w:rsidP="00E65933">
      <w:pPr>
        <w:pStyle w:val="ListParagraph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kritičnu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ulogu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upravljanju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odgovornosti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preporučuje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organizacionim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jedinicama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identifikuju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usmjeravaju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profesionalizuju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barem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jednu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kojoj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dodijeliti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zadaci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vezani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praćenje</w:t>
      </w:r>
      <w:r w:rsidR="00E65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rezultata</w:t>
      </w:r>
      <w:r w:rsidR="009F5F1F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B82817" w:rsidRPr="00230F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5751ED" w14:textId="77777777" w:rsidR="00E65933" w:rsidRDefault="00E65933">
      <w:pP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br w:type="page"/>
      </w:r>
    </w:p>
    <w:p w14:paraId="67EEB355" w14:textId="404FCD31" w:rsidR="009F5F1F" w:rsidRPr="00230F08" w:rsidRDefault="00E95EE5" w:rsidP="00230F08">
      <w:pPr>
        <w:spacing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lastRenderedPageBreak/>
        <w:t>Kroz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dosadašnje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cikluse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srednjoročnog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planiranja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praćenja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,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izvještavanja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i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evaluacije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u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MP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BiH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su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naučene</w:t>
      </w:r>
      <w:r w:rsidR="009F5F1F" w:rsidRP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slijedeće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lekcije</w:t>
      </w:r>
      <w:r w:rsidR="00230F08">
        <w:rPr>
          <w:rFonts w:ascii="Times New Roman" w:eastAsia="PMingLiU" w:hAnsi="Times New Roman" w:cs="Times New Roman"/>
          <w:bCs/>
          <w:sz w:val="24"/>
          <w:szCs w:val="24"/>
          <w:lang w:eastAsia="zh-TW" w:bidi="as-IN"/>
        </w:rPr>
        <w:t>:</w:t>
      </w:r>
    </w:p>
    <w:p w14:paraId="4B62B399" w14:textId="7C9FA661" w:rsidR="002A34A4" w:rsidRPr="006F0357" w:rsidRDefault="00E95EE5" w:rsidP="0029773C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Pojednostavljenje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Tendencija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uvrštavanjem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većeg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detalja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izostavljeni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dobili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značaju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praksa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očitava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evaluacijskih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Predstavnici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SSPKPEI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partneri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/>
          <w:sz w:val="24"/>
          <w:szCs w:val="24"/>
        </w:rPr>
        <w:t>provođenju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podršci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srednjoročno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saglasni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potrebe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/>
          <w:sz w:val="24"/>
          <w:szCs w:val="24"/>
        </w:rPr>
        <w:t>provođenja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praćenja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neophodno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pojednostavljenje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srednjoročnog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planiranja</w:t>
      </w:r>
      <w:r w:rsidR="00B82817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urađeno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dobrim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dijelom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6641">
        <w:rPr>
          <w:rFonts w:ascii="Times New Roman" w:eastAsia="Times New Roman" w:hAnsi="Times New Roman" w:cs="Times New Roman"/>
          <w:color w:val="000000"/>
          <w:sz w:val="24"/>
          <w:szCs w:val="24"/>
        </w:rPr>
        <w:t>Također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raniji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izvještavanja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vodilo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rizicima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voditi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računa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detaljima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izostali</w:t>
      </w:r>
      <w:r w:rsidR="0013021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,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projiciranje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resursa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alternativnih</w:t>
      </w:r>
      <w:r w:rsidR="002A34A4" w:rsidRP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načina</w:t>
      </w:r>
      <w:r w:rsidR="002A34A4" w:rsidRP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EEA">
        <w:rPr>
          <w:rFonts w:ascii="Times New Roman" w:eastAsia="Times New Roman" w:hAnsi="Times New Roman" w:cs="Times New Roman"/>
          <w:color w:val="000000"/>
          <w:sz w:val="24"/>
          <w:szCs w:val="24"/>
        </w:rPr>
        <w:t>provođenja</w:t>
      </w:r>
      <w:r w:rsidR="002A34A4" w:rsidRP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Pojednostavljenje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uslijedilo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smanjenjem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posebnih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ciljeva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smanjenjam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broja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90C7C1" w14:textId="017201F2" w:rsidR="00496FCD" w:rsidRPr="00D40B7D" w:rsidRDefault="00E95EE5" w:rsidP="00230F08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Analitički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kapaciteti</w:t>
      </w:r>
      <w:r w:rsidR="00230F08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evaluacije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ukazuje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koliki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dobro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osposobljeni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službenici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upravljanje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planiranjem</w:t>
      </w:r>
      <w:r w:rsidR="00D3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praćenjem</w:t>
      </w:r>
      <w:r w:rsidR="00D3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D35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izvještavanjem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evaluacijom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Budućnost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funkcije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planiranja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uspješnosti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direktnom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proporcionalnom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odnosu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nivoom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ulaganja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ljudske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potencijale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obavljanje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analitičko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informativnih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poslova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Organizacione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jedinice</w:t>
      </w:r>
      <w:r w:rsidR="00B9198A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BiH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prepoznale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značaj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istih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postoje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rezervisani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resursi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izgradnju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predmetnih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vlastitih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tako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96FCD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donatorskih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r w:rsidR="00E65933" w:rsidRPr="00D40B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Tokom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proteklog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državni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službenici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SSPKPEI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učestvovali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organizovanim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obukama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r w:rsidR="006F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 w:rsidR="0013021E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drugim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predavanjima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različitih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projekata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21E">
        <w:rPr>
          <w:rFonts w:ascii="Times New Roman" w:eastAsia="Times New Roman" w:hAnsi="Times New Roman" w:cs="Times New Roman"/>
          <w:color w:val="000000"/>
          <w:sz w:val="24"/>
          <w:szCs w:val="24"/>
        </w:rPr>
        <w:t>on line,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radionicama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Jačanje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njihovih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kapaciteta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evidentno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pogledamo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dokumenata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izrađuju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Uvijek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dodatno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ulagati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unapređivati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ovu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oblast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2977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prostor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poboljšanje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postoji</w:t>
      </w:r>
      <w:r w:rsidR="002902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4C026A" w14:textId="04B8C259" w:rsidR="00B36381" w:rsidRPr="00B36381" w:rsidRDefault="00E95EE5" w:rsidP="00604F8F">
      <w:pPr>
        <w:pStyle w:val="ListParagraph"/>
        <w:numPr>
          <w:ilvl w:val="0"/>
          <w:numId w:val="27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Saradnja</w:t>
      </w:r>
      <w:r w:rsidR="7C1D1F8F" w:rsidRPr="00B36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partnerstvo</w:t>
      </w:r>
      <w:r w:rsidR="00230F08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Uspjeh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mnogih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projektnih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akcija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zavisio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saradnji</w:t>
      </w:r>
      <w:r w:rsidR="00D35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više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organizacionih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jedinica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</w:t>
      </w:r>
      <w:r w:rsidR="00E65933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partnerskim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institucijama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kroz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interresornu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radnu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drugom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načinu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Značaj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saradnje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označen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brojnim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analizama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planiranja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razvoja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politika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politika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konsultacija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pravnog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normiranja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što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Strategija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reformu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sektora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pravde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naglašava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će</w:t>
      </w:r>
      <w:r w:rsidR="00130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Strategija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reforme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uprave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ostvarenje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svog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mandata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zahtijevat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usku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saradnju</w:t>
      </w:r>
      <w:r w:rsidR="00E65933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kako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označenim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partnerima</w:t>
      </w:r>
      <w:r w:rsidR="00E65933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tako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onim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00130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>tiču</w:t>
      </w:r>
      <w:r w:rsidR="00130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mjere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koje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</w:t>
      </w:r>
      <w:r w:rsidR="00A53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32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tog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razloga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saradnja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biti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princip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upravljanja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radom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MP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BiH</w:t>
      </w:r>
      <w:r w:rsidR="7C1D1F8F" w:rsidRPr="00B363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058B67" w14:textId="71DCE184" w:rsidR="00B36381" w:rsidRDefault="00E95EE5" w:rsidP="00B36381">
      <w:pPr>
        <w:pStyle w:val="ListParagraph"/>
        <w:spacing w:before="2400" w:after="120" w:line="240" w:lineRule="auto"/>
        <w:ind w:left="6729" w:firstLine="351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B36381" w:rsidRP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</w:p>
    <w:p w14:paraId="3BC1C1AA" w14:textId="2C5803F7" w:rsidR="00B36381" w:rsidRPr="00B36381" w:rsidRDefault="00E95EE5" w:rsidP="00B36381">
      <w:pPr>
        <w:pStyle w:val="ListParagraph"/>
        <w:spacing w:before="240" w:after="120" w:line="240" w:lineRule="auto"/>
        <w:ind w:left="357"/>
        <w:contextualSpacing w:val="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Josip</w:t>
      </w:r>
      <w:r w:rsidR="00B36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Grubeša</w:t>
      </w:r>
    </w:p>
    <w:p w14:paraId="132F6908" w14:textId="77777777" w:rsidR="009F5F1F" w:rsidRPr="00C77FF0" w:rsidRDefault="009F5F1F" w:rsidP="00230F08">
      <w:pPr>
        <w:spacing w:before="120" w:after="120" w:line="240" w:lineRule="auto"/>
        <w:ind w:left="360"/>
        <w:contextualSpacing/>
        <w:jc w:val="both"/>
        <w:rPr>
          <w:rFonts w:ascii="Times New Roman" w:eastAsia="PMingLiU" w:hAnsi="Times New Roman" w:cs="Times New Roman"/>
          <w:color w:val="1F4D78" w:themeColor="accent1" w:themeShade="7F"/>
          <w:sz w:val="24"/>
          <w:szCs w:val="24"/>
          <w:lang w:eastAsia="zh-TW" w:bidi="as-IN"/>
        </w:rPr>
      </w:pPr>
      <w:r w:rsidRPr="00C77FF0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br w:type="page"/>
      </w:r>
    </w:p>
    <w:p w14:paraId="1CDD1C51" w14:textId="17C1450B" w:rsidR="009F5F1F" w:rsidRPr="00D060B6" w:rsidRDefault="00E95EE5" w:rsidP="00D060B6">
      <w:pPr>
        <w:pStyle w:val="Heading1"/>
        <w:spacing w:before="0" w:after="120" w:line="240" w:lineRule="auto"/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</w:pPr>
      <w:bookmarkStart w:id="8" w:name="_Toc112075072"/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PRILOG</w:t>
      </w:r>
      <w:r w:rsidR="002B35C2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 w:rsidR="009F5F1F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1: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SPISAK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OSOBA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SA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KOJIMA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JE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OBAVLjEN</w:t>
      </w:r>
      <w:r w:rsidR="00D060B6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INTERVJU</w:t>
      </w:r>
      <w:bookmarkEnd w:id="8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35C2" w:rsidRPr="002B35C2" w14:paraId="7A87D256" w14:textId="77777777" w:rsidTr="009524ED">
        <w:tc>
          <w:tcPr>
            <w:tcW w:w="4530" w:type="dxa"/>
            <w:shd w:val="clear" w:color="auto" w:fill="44546A" w:themeFill="text2"/>
            <w:vAlign w:val="center"/>
          </w:tcPr>
          <w:p w14:paraId="6994230B" w14:textId="6D98A64B" w:rsidR="009F5F1F" w:rsidRPr="002B35C2" w:rsidRDefault="00E95EE5" w:rsidP="002B35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Ime</w:t>
            </w:r>
            <w:r w:rsidR="009F5F1F"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</w:t>
            </w:r>
            <w:r w:rsidR="009F5F1F" w:rsidRPr="002B35C2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prezime</w:t>
            </w:r>
          </w:p>
        </w:tc>
        <w:tc>
          <w:tcPr>
            <w:tcW w:w="4530" w:type="dxa"/>
            <w:shd w:val="clear" w:color="auto" w:fill="44546A" w:themeFill="text2"/>
            <w:vAlign w:val="center"/>
          </w:tcPr>
          <w:p w14:paraId="7311521B" w14:textId="0962B14D" w:rsidR="009F5F1F" w:rsidRPr="002B35C2" w:rsidRDefault="00E95EE5" w:rsidP="002B35C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bs-Latn-BA"/>
              </w:rPr>
              <w:t>Institucija</w:t>
            </w:r>
          </w:p>
        </w:tc>
      </w:tr>
      <w:tr w:rsidR="0095567B" w:rsidRPr="002B35C2" w14:paraId="1D741B61" w14:textId="77777777" w:rsidTr="009524ED">
        <w:trPr>
          <w:trHeight w:val="348"/>
        </w:trPr>
        <w:tc>
          <w:tcPr>
            <w:tcW w:w="4530" w:type="dxa"/>
            <w:vAlign w:val="center"/>
          </w:tcPr>
          <w:p w14:paraId="479D2940" w14:textId="7027DFF9" w:rsidR="0095567B" w:rsidRPr="002B35C2" w:rsidRDefault="00E95EE5" w:rsidP="0095567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Nikola</w:t>
            </w:r>
            <w:r w:rsidR="0095567B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Sladoje</w:t>
            </w:r>
          </w:p>
        </w:tc>
        <w:tc>
          <w:tcPr>
            <w:tcW w:w="4530" w:type="dxa"/>
            <w:vAlign w:val="center"/>
          </w:tcPr>
          <w:p w14:paraId="73444766" w14:textId="6287CFF5" w:rsidR="0095567B" w:rsidRPr="002B35C2" w:rsidRDefault="00E95EE5" w:rsidP="0095567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6211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</w:p>
        </w:tc>
      </w:tr>
      <w:tr w:rsidR="0095567B" w:rsidRPr="002B35C2" w14:paraId="7989C7EE" w14:textId="77777777" w:rsidTr="009524ED">
        <w:trPr>
          <w:trHeight w:val="410"/>
        </w:trPr>
        <w:tc>
          <w:tcPr>
            <w:tcW w:w="4530" w:type="dxa"/>
            <w:vAlign w:val="center"/>
          </w:tcPr>
          <w:p w14:paraId="0A4B0D84" w14:textId="1401E87A" w:rsidR="0095567B" w:rsidRPr="002B35C2" w:rsidRDefault="00E95EE5" w:rsidP="0095567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Adin</w:t>
            </w:r>
            <w:r w:rsidR="0095567B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Hidić</w:t>
            </w:r>
          </w:p>
        </w:tc>
        <w:tc>
          <w:tcPr>
            <w:tcW w:w="4530" w:type="dxa"/>
            <w:vAlign w:val="center"/>
          </w:tcPr>
          <w:p w14:paraId="7C523A0C" w14:textId="60273364" w:rsidR="0095567B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95567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95567B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</w:p>
        </w:tc>
      </w:tr>
      <w:tr w:rsidR="0095567B" w:rsidRPr="002B35C2" w14:paraId="499E945B" w14:textId="77777777" w:rsidTr="009524ED">
        <w:trPr>
          <w:trHeight w:val="415"/>
        </w:trPr>
        <w:tc>
          <w:tcPr>
            <w:tcW w:w="4530" w:type="dxa"/>
            <w:vAlign w:val="center"/>
          </w:tcPr>
          <w:p w14:paraId="2ED279B3" w14:textId="56E92CBA" w:rsidR="0095567B" w:rsidRPr="00640F46" w:rsidRDefault="00E95EE5" w:rsidP="006211E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/>
              </w:rPr>
              <w:t>Arijana</w:t>
            </w:r>
            <w:r w:rsidR="0095567B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Arnautović</w:t>
            </w:r>
          </w:p>
        </w:tc>
        <w:tc>
          <w:tcPr>
            <w:tcW w:w="4530" w:type="dxa"/>
            <w:vAlign w:val="center"/>
          </w:tcPr>
          <w:p w14:paraId="5B93A144" w14:textId="6504B4AA" w:rsidR="0095567B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finansija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trezora</w:t>
            </w:r>
            <w:r w:rsidR="006211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6211E6" w:rsidRPr="002B35C2" w14:paraId="26B1C0F1" w14:textId="77777777" w:rsidTr="009524ED">
        <w:trPr>
          <w:trHeight w:val="420"/>
        </w:trPr>
        <w:tc>
          <w:tcPr>
            <w:tcW w:w="4530" w:type="dxa"/>
            <w:vAlign w:val="center"/>
          </w:tcPr>
          <w:p w14:paraId="35C7F31E" w14:textId="3B2C8BF9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Nijaz</w:t>
            </w:r>
            <w:r w:rsidR="006211E6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Avdukić</w:t>
            </w:r>
          </w:p>
        </w:tc>
        <w:tc>
          <w:tcPr>
            <w:tcW w:w="4530" w:type="dxa"/>
            <w:vAlign w:val="center"/>
          </w:tcPr>
          <w:p w14:paraId="52C690E7" w14:textId="3F6169F6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finansija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trezora</w:t>
            </w:r>
            <w:r w:rsidR="006211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6211E6" w:rsidRPr="002B35C2" w14:paraId="0C7B2FF1" w14:textId="77777777" w:rsidTr="009524ED">
        <w:trPr>
          <w:trHeight w:val="413"/>
        </w:trPr>
        <w:tc>
          <w:tcPr>
            <w:tcW w:w="4530" w:type="dxa"/>
            <w:vAlign w:val="center"/>
          </w:tcPr>
          <w:p w14:paraId="0C439AEC" w14:textId="79FDB31C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Helena</w:t>
            </w:r>
            <w:r w:rsidR="006211E6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Mustapić</w:t>
            </w:r>
          </w:p>
        </w:tc>
        <w:tc>
          <w:tcPr>
            <w:tcW w:w="4530" w:type="dxa"/>
            <w:vAlign w:val="center"/>
          </w:tcPr>
          <w:p w14:paraId="189AFA26" w14:textId="562FAEEE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Direkcija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za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ekonomsko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planiranje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</w:p>
        </w:tc>
      </w:tr>
      <w:tr w:rsidR="006211E6" w:rsidRPr="002B35C2" w14:paraId="04E6DC37" w14:textId="77777777" w:rsidTr="009524ED">
        <w:trPr>
          <w:trHeight w:val="419"/>
        </w:trPr>
        <w:tc>
          <w:tcPr>
            <w:tcW w:w="4530" w:type="dxa"/>
            <w:vAlign w:val="center"/>
          </w:tcPr>
          <w:p w14:paraId="6CEAE380" w14:textId="4972BF29" w:rsidR="006211E6" w:rsidRPr="002B35C2" w:rsidRDefault="00E95EE5" w:rsidP="006211E6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Slavka</w:t>
            </w:r>
            <w:r w:rsidR="006211E6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Alagić</w:t>
            </w:r>
          </w:p>
        </w:tc>
        <w:tc>
          <w:tcPr>
            <w:tcW w:w="4530" w:type="dxa"/>
            <w:vAlign w:val="center"/>
          </w:tcPr>
          <w:p w14:paraId="0A269320" w14:textId="4D8BC3DA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6211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</w:p>
        </w:tc>
      </w:tr>
      <w:tr w:rsidR="006211E6" w:rsidRPr="002B35C2" w14:paraId="7E88AF57" w14:textId="77777777" w:rsidTr="009524ED">
        <w:trPr>
          <w:trHeight w:val="553"/>
        </w:trPr>
        <w:tc>
          <w:tcPr>
            <w:tcW w:w="4530" w:type="dxa"/>
            <w:vAlign w:val="center"/>
          </w:tcPr>
          <w:p w14:paraId="279AD631" w14:textId="6C56D5CF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Dijana</w:t>
            </w:r>
            <w:r w:rsidR="006211E6" w:rsidRPr="00640F46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Beribaka</w:t>
            </w:r>
          </w:p>
        </w:tc>
        <w:tc>
          <w:tcPr>
            <w:tcW w:w="4530" w:type="dxa"/>
            <w:vAlign w:val="center"/>
          </w:tcPr>
          <w:p w14:paraId="7A17CFB8" w14:textId="7CB8109A" w:rsidR="006211E6" w:rsidRPr="002B35C2" w:rsidRDefault="00E95EE5" w:rsidP="006211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Ministarstvo</w:t>
            </w:r>
            <w:r w:rsidR="006211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pravde</w:t>
            </w:r>
            <w:r w:rsidR="006211E6" w:rsidRPr="002B35C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BiH</w:t>
            </w:r>
          </w:p>
        </w:tc>
      </w:tr>
    </w:tbl>
    <w:p w14:paraId="1CE457EF" w14:textId="77777777" w:rsidR="00D060B6" w:rsidRDefault="00D060B6">
      <w:pPr>
        <w:rPr>
          <w:rFonts w:ascii="Times New Roman" w:eastAsia="PMingLiU" w:hAnsi="Times New Roman" w:cs="Times New Roman"/>
          <w:b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b/>
          <w:lang w:eastAsia="zh-TW" w:bidi="as-IN"/>
        </w:rPr>
        <w:br w:type="page"/>
      </w:r>
    </w:p>
    <w:p w14:paraId="7F0E327A" w14:textId="5055D5FC" w:rsidR="009F5F1F" w:rsidRPr="00D060B6" w:rsidRDefault="00E95EE5" w:rsidP="00D060B6">
      <w:pPr>
        <w:pStyle w:val="Heading1"/>
        <w:spacing w:before="0" w:after="120" w:line="240" w:lineRule="auto"/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</w:pPr>
      <w:bookmarkStart w:id="9" w:name="_Toc112075073"/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lastRenderedPageBreak/>
        <w:t>PRILOG</w:t>
      </w:r>
      <w:r w:rsidR="002B35C2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 </w:t>
      </w:r>
      <w:r w:rsidR="009F5F1F" w:rsidRPr="00D060B6"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 xml:space="preserve">2: </w:t>
      </w:r>
      <w:r>
        <w:rPr>
          <w:rFonts w:ascii="Times New Roman" w:eastAsia="PMingLiU" w:hAnsi="Times New Roman" w:cs="Times New Roman"/>
          <w:b/>
          <w:color w:val="auto"/>
          <w:sz w:val="24"/>
          <w:szCs w:val="24"/>
          <w:lang w:eastAsia="zh-TW" w:bidi="as-IN"/>
        </w:rPr>
        <w:t>BIBLIOGRAFIJA</w:t>
      </w:r>
      <w:bookmarkEnd w:id="9"/>
    </w:p>
    <w:p w14:paraId="5EB37D89" w14:textId="5F4A649A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Akcioni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planovi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programa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E14BF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Vijeća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Srednjoročni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planovi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sa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prilozima</w:t>
      </w:r>
      <w:r w:rsidR="00B04DD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od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2019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2021</w:t>
      </w:r>
      <w:r w:rsidR="00D060B6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svaku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pojedinačnu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;</w:t>
      </w:r>
    </w:p>
    <w:p w14:paraId="4EF809CE" w14:textId="6AF4FB7E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9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1C9D03BF" w14:textId="4D9E7AF3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4EA57D0B" w14:textId="43B9ECA1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21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3DBAF3DA" w14:textId="761F4A28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9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4829B867" w14:textId="4FDF8AAA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20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039428D4" w14:textId="5C76EF62" w:rsidR="009F5F1F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D060B6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 w:rsidR="00983EEA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provođenju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</w:t>
      </w:r>
      <w:r w:rsidR="0029773C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21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godinu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65EF0596" w14:textId="42591B32" w:rsidR="007D7560" w:rsidRPr="002B35C2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Priručnik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F5F1F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strateško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planiranje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,</w:t>
      </w:r>
    </w:p>
    <w:p w14:paraId="1DB62AA7" w14:textId="60B41FD2" w:rsidR="00161EC7" w:rsidRDefault="00E95EE5" w:rsidP="00D060B6">
      <w:pPr>
        <w:pStyle w:val="ListParagraph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Priručnik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7D7560" w:rsidRPr="002B35C2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evaluaciju</w:t>
      </w:r>
      <w:r w:rsidR="009524E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planskih</w:t>
      </w:r>
      <w:r w:rsidR="009524E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dokumenata</w:t>
      </w:r>
      <w:r w:rsidR="009524ED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</w:p>
    <w:p w14:paraId="4B857FBC" w14:textId="798EE3C0" w:rsidR="0095567B" w:rsidRPr="0095567B" w:rsidRDefault="00E95EE5" w:rsidP="00C735C3">
      <w:pPr>
        <w:pStyle w:val="ListParagraph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="Times New Roman" w:eastAsia="PMingLiU" w:hAnsi="Times New Roman" w:cs="Times New Roman"/>
          <w:sz w:val="24"/>
          <w:szCs w:val="24"/>
          <w:lang w:eastAsia="zh-TW" w:bidi="as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Izvještaj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o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evaluaciji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Srednjoročnog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plana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rada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Ministarstva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pravde</w:t>
      </w:r>
      <w:r w:rsidR="0095567B" w:rsidRP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Bosne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i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Hercegovine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za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period</w:t>
      </w:r>
      <w:r w:rsidR="0013021E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 2018 – 2020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 xml:space="preserve">. </w:t>
      </w:r>
      <w:r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godine</w:t>
      </w:r>
      <w:r w:rsidR="0095567B">
        <w:rPr>
          <w:rFonts w:ascii="Times New Roman" w:eastAsia="PMingLiU" w:hAnsi="Times New Roman" w:cs="Times New Roman"/>
          <w:sz w:val="24"/>
          <w:szCs w:val="24"/>
          <w:lang w:eastAsia="zh-TW" w:bidi="as-IN"/>
        </w:rPr>
        <w:t>.</w:t>
      </w:r>
    </w:p>
    <w:sectPr w:rsidR="0095567B" w:rsidRPr="0095567B" w:rsidSect="00C735C3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3A6B7" w14:textId="77777777" w:rsidR="008F34F0" w:rsidRDefault="008F34F0" w:rsidP="00E034AB">
      <w:pPr>
        <w:spacing w:after="0" w:line="240" w:lineRule="auto"/>
      </w:pPr>
      <w:r>
        <w:separator/>
      </w:r>
    </w:p>
  </w:endnote>
  <w:endnote w:type="continuationSeparator" w:id="0">
    <w:p w14:paraId="6101C261" w14:textId="77777777" w:rsidR="008F34F0" w:rsidRDefault="008F34F0" w:rsidP="00E0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649672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A39B" w14:textId="29E6221F" w:rsidR="00DD47B7" w:rsidRPr="002C5DC4" w:rsidRDefault="00DD47B7" w:rsidP="002B52E0">
        <w:pPr>
          <w:pStyle w:val="Footer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D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D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5D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18B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2C5DC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718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B61D9" w14:textId="2FF19B95" w:rsidR="004948AF" w:rsidRDefault="004948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8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B38117" w14:textId="77777777" w:rsidR="00DD47B7" w:rsidRDefault="00DD4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8E21" w14:textId="77777777" w:rsidR="008F34F0" w:rsidRDefault="008F34F0" w:rsidP="00E034AB">
      <w:pPr>
        <w:spacing w:after="0" w:line="240" w:lineRule="auto"/>
      </w:pPr>
      <w:r>
        <w:separator/>
      </w:r>
    </w:p>
  </w:footnote>
  <w:footnote w:type="continuationSeparator" w:id="0">
    <w:p w14:paraId="6A4F510B" w14:textId="77777777" w:rsidR="008F34F0" w:rsidRDefault="008F34F0" w:rsidP="00E034AB">
      <w:pPr>
        <w:spacing w:after="0" w:line="240" w:lineRule="auto"/>
      </w:pPr>
      <w:r>
        <w:continuationSeparator/>
      </w:r>
    </w:p>
  </w:footnote>
  <w:footnote w:id="1">
    <w:p w14:paraId="634D88C0" w14:textId="4F43123C" w:rsidR="00DD47B7" w:rsidRPr="00ED649A" w:rsidRDefault="00DD47B7" w:rsidP="008B7B05">
      <w:pPr>
        <w:spacing w:after="0" w:line="240" w:lineRule="auto"/>
        <w:jc w:val="both"/>
        <w:rPr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</w:t>
      </w:r>
      <w:r>
        <w:rPr>
          <w:rFonts w:ascii="Times New Roman" w:hAnsi="Times New Roman" w:cs="Times New Roman"/>
          <w:bCs/>
          <w:iCs/>
          <w:sz w:val="16"/>
          <w:szCs w:val="16"/>
        </w:rPr>
        <w:t>sebni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cilj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14.2.: </w:t>
      </w:r>
      <w:r>
        <w:rPr>
          <w:rFonts w:ascii="Times New Roman" w:hAnsi="Times New Roman" w:cs="Times New Roman"/>
          <w:bCs/>
          <w:iCs/>
          <w:sz w:val="16"/>
          <w:szCs w:val="16"/>
        </w:rPr>
        <w:t>Stvoriti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pretpostavke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za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aktivnije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učešće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civilnog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društva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iCs/>
          <w:sz w:val="16"/>
          <w:szCs w:val="16"/>
        </w:rPr>
        <w:t>unaprijediti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sistem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uprave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upravne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inspekcije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uspješno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koordinirati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sektor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Cs/>
          <w:sz w:val="16"/>
          <w:szCs w:val="16"/>
        </w:rPr>
        <w:t>pravde</w:t>
      </w:r>
      <w:r w:rsidRPr="00ED649A">
        <w:rPr>
          <w:rFonts w:ascii="Times New Roman" w:hAnsi="Times New Roman" w:cs="Times New Roman"/>
          <w:bCs/>
          <w:iCs/>
          <w:sz w:val="16"/>
          <w:szCs w:val="16"/>
        </w:rPr>
        <w:t>.</w:t>
      </w:r>
    </w:p>
  </w:footnote>
  <w:footnote w:id="2">
    <w:p w14:paraId="30841C32" w14:textId="4AB8D20F" w:rsidR="00DD47B7" w:rsidRPr="00ED649A" w:rsidRDefault="00DD47B7" w:rsidP="008B7B05">
      <w:pPr>
        <w:pStyle w:val="FootnoteText"/>
        <w:jc w:val="both"/>
        <w:rPr>
          <w:sz w:val="16"/>
          <w:szCs w:val="16"/>
        </w:rPr>
      </w:pPr>
      <w:r w:rsidRPr="00ED649A">
        <w:rPr>
          <w:rStyle w:val="FootnoteReference"/>
          <w:sz w:val="16"/>
          <w:szCs w:val="16"/>
        </w:rPr>
        <w:footnoteRef/>
      </w:r>
      <w:r w:rsidRPr="00ED649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ovoj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koloni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unesene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ostvarene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vrijednosti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2019. </w:t>
      </w:r>
      <w:r>
        <w:rPr>
          <w:rFonts w:ascii="Times New Roman" w:hAnsi="Times New Roman" w:cs="Times New Roman"/>
          <w:sz w:val="16"/>
          <w:szCs w:val="16"/>
        </w:rPr>
        <w:t>godinu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što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preuzeto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iz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2021 – 2023. </w:t>
      </w:r>
      <w:r>
        <w:rPr>
          <w:rFonts w:ascii="Times New Roman" w:hAnsi="Times New Roman" w:cs="Times New Roman"/>
          <w:sz w:val="16"/>
          <w:szCs w:val="16"/>
        </w:rPr>
        <w:t>godine</w:t>
      </w:r>
      <w:r w:rsidRPr="00ED649A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573A856D" w14:textId="3D65F44E" w:rsidR="00DD47B7" w:rsidRPr="00ED649A" w:rsidRDefault="00DD47B7" w:rsidP="008B7B0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2022. – 2024. </w:t>
      </w:r>
      <w:r>
        <w:rPr>
          <w:rFonts w:ascii="Times New Roman" w:hAnsi="Times New Roman" w:cs="Times New Roman"/>
          <w:sz w:val="16"/>
          <w:szCs w:val="16"/>
        </w:rPr>
        <w:t>naziv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pokazatelja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mijenja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neznatno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Okvir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rada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civilnim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društvom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uspostavljen</w:t>
      </w:r>
      <w:r w:rsidRPr="00ED649A">
        <w:rPr>
          <w:rFonts w:ascii="Times New Roman" w:hAnsi="Times New Roman" w:cs="Times New Roman"/>
          <w:sz w:val="16"/>
          <w:szCs w:val="16"/>
        </w:rPr>
        <w:t>“.</w:t>
      </w:r>
    </w:p>
  </w:footnote>
  <w:footnote w:id="4">
    <w:p w14:paraId="7B1D8993" w14:textId="4222F5E3" w:rsidR="00DD47B7" w:rsidRPr="00ED649A" w:rsidRDefault="00DD47B7" w:rsidP="008B7B0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2020. – 2022. </w:t>
      </w:r>
      <w:r>
        <w:rPr>
          <w:rFonts w:ascii="Times New Roman" w:hAnsi="Times New Roman" w:cs="Times New Roman"/>
          <w:sz w:val="16"/>
          <w:szCs w:val="16"/>
        </w:rPr>
        <w:t>naziv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programa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pobliže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određuje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Unapređenje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zakonodavnog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okvira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kapaciteta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vođenja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upravnog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postupka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iz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nadležnosti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SU</w:t>
      </w:r>
      <w:r w:rsidRPr="00ED649A">
        <w:rPr>
          <w:rFonts w:ascii="Times New Roman" w:hAnsi="Times New Roman" w:cs="Times New Roman"/>
          <w:sz w:val="16"/>
          <w:szCs w:val="16"/>
        </w:rPr>
        <w:t>“.</w:t>
      </w:r>
    </w:p>
  </w:footnote>
  <w:footnote w:id="5">
    <w:p w14:paraId="3733CA95" w14:textId="58DD101B" w:rsidR="00DD47B7" w:rsidRPr="00ED649A" w:rsidRDefault="00DD47B7" w:rsidP="008B7B0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2022. – 2024. </w:t>
      </w:r>
      <w:r>
        <w:rPr>
          <w:rFonts w:ascii="Times New Roman" w:hAnsi="Times New Roman" w:cs="Times New Roman"/>
          <w:sz w:val="16"/>
          <w:szCs w:val="16"/>
        </w:rPr>
        <w:t>prethodna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dva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pokazatelja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zamjenjena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novi</w:t>
      </w:r>
      <w:r>
        <w:rPr>
          <w:rFonts w:ascii="Times New Roman" w:hAnsi="Times New Roman" w:cs="Times New Roman"/>
          <w:sz w:val="16"/>
          <w:szCs w:val="16"/>
          <w:lang w:val="sr-Cyrl-BA"/>
        </w:rPr>
        <w:t>m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koji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Institucije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nad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kojima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izvršen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nadrzor</w:t>
      </w:r>
      <w:r w:rsidRPr="00ED649A">
        <w:rPr>
          <w:rFonts w:ascii="Times New Roman" w:hAnsi="Times New Roman" w:cs="Times New Roman"/>
          <w:sz w:val="16"/>
          <w:szCs w:val="16"/>
        </w:rPr>
        <w:t xml:space="preserve">“. </w:t>
      </w:r>
    </w:p>
  </w:footnote>
  <w:footnote w:id="6">
    <w:p w14:paraId="6ADA72C7" w14:textId="6C77EB5F" w:rsidR="00DD47B7" w:rsidRPr="00ED649A" w:rsidRDefault="00DD47B7" w:rsidP="008B7B05">
      <w:pPr>
        <w:pStyle w:val="FootnoteText"/>
        <w:jc w:val="both"/>
        <w:rPr>
          <w:sz w:val="16"/>
          <w:szCs w:val="16"/>
        </w:rPr>
      </w:pPr>
      <w:r w:rsidRPr="00ED649A">
        <w:rPr>
          <w:rStyle w:val="FootnoteReference"/>
          <w:sz w:val="16"/>
          <w:szCs w:val="16"/>
        </w:rPr>
        <w:footnoteRef/>
      </w:r>
      <w:r w:rsidRPr="00ED649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Pokazatelj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mijenja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2021 – 2023.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Broj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institucija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nad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kojim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izvršen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nadzor</w:t>
      </w:r>
      <w:r w:rsidRPr="00ED649A">
        <w:rPr>
          <w:rFonts w:ascii="Times New Roman" w:hAnsi="Times New Roman" w:cs="Times New Roman"/>
          <w:sz w:val="16"/>
          <w:szCs w:val="16"/>
        </w:rPr>
        <w:t xml:space="preserve">“, </w:t>
      </w:r>
      <w:r>
        <w:rPr>
          <w:rFonts w:ascii="Times New Roman" w:hAnsi="Times New Roman" w:cs="Times New Roman"/>
          <w:sz w:val="16"/>
          <w:szCs w:val="16"/>
        </w:rPr>
        <w:t>vrijednost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ocjenjuje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prethodni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godinu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da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bilo</w:t>
      </w:r>
      <w:r w:rsidRPr="00ED649A">
        <w:rPr>
          <w:rFonts w:ascii="Times New Roman" w:hAnsi="Times New Roman" w:cs="Times New Roman"/>
          <w:sz w:val="16"/>
          <w:szCs w:val="16"/>
        </w:rPr>
        <w:t xml:space="preserve"> 46 </w:t>
      </w:r>
      <w:r>
        <w:rPr>
          <w:rFonts w:ascii="Times New Roman" w:hAnsi="Times New Roman" w:cs="Times New Roman"/>
          <w:sz w:val="16"/>
          <w:szCs w:val="16"/>
        </w:rPr>
        <w:t>institucija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što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navodi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početnoj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vrijedosti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Priloga</w:t>
      </w:r>
      <w:r w:rsidRPr="00ED649A">
        <w:rPr>
          <w:rFonts w:ascii="Times New Roman" w:hAnsi="Times New Roman" w:cs="Times New Roman"/>
          <w:sz w:val="16"/>
          <w:szCs w:val="16"/>
        </w:rPr>
        <w:t xml:space="preserve"> 1. </w:t>
      </w:r>
      <w:r>
        <w:rPr>
          <w:rFonts w:ascii="Times New Roman" w:hAnsi="Times New Roman" w:cs="Times New Roman"/>
          <w:sz w:val="16"/>
          <w:szCs w:val="16"/>
        </w:rPr>
        <w:t>AP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2021 – 2023. </w:t>
      </w:r>
      <w:r>
        <w:rPr>
          <w:rFonts w:ascii="Times New Roman" w:hAnsi="Times New Roman" w:cs="Times New Roman"/>
          <w:sz w:val="16"/>
          <w:szCs w:val="16"/>
        </w:rPr>
        <w:t>godine</w:t>
      </w:r>
      <w:r w:rsidRPr="00ED649A"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14:paraId="71718DD4" w14:textId="49AB1967" w:rsidR="00DD47B7" w:rsidRPr="00ED649A" w:rsidRDefault="00DD47B7" w:rsidP="008B7B05">
      <w:pPr>
        <w:pStyle w:val="FootnoteText"/>
        <w:jc w:val="both"/>
        <w:rPr>
          <w:sz w:val="16"/>
          <w:szCs w:val="16"/>
        </w:rPr>
      </w:pPr>
      <w:r w:rsidRPr="00ED649A">
        <w:rPr>
          <w:rStyle w:val="FootnoteReference"/>
          <w:sz w:val="16"/>
          <w:szCs w:val="16"/>
        </w:rPr>
        <w:footnoteRef/>
      </w:r>
      <w:r w:rsidRPr="00ED649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Ovaj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BA"/>
        </w:rPr>
        <w:t>pokazatelj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gasi</w:t>
      </w:r>
      <w:r w:rsidRPr="00ED649A">
        <w:rPr>
          <w:rFonts w:ascii="Times New Roman" w:hAnsi="Times New Roman" w:cs="Times New Roman"/>
          <w:sz w:val="16"/>
          <w:szCs w:val="16"/>
        </w:rPr>
        <w:t>.</w:t>
      </w:r>
      <w:r w:rsidRPr="00ED649A">
        <w:rPr>
          <w:sz w:val="16"/>
          <w:szCs w:val="16"/>
        </w:rPr>
        <w:t xml:space="preserve"> </w:t>
      </w:r>
    </w:p>
  </w:footnote>
  <w:footnote w:id="8">
    <w:p w14:paraId="58EF8B79" w14:textId="27C141E6" w:rsidR="00DD47B7" w:rsidRPr="00ED649A" w:rsidRDefault="00DD47B7" w:rsidP="008B7B05">
      <w:pPr>
        <w:pStyle w:val="FootnoteText"/>
        <w:jc w:val="both"/>
        <w:rPr>
          <w:sz w:val="16"/>
          <w:szCs w:val="16"/>
        </w:rPr>
      </w:pPr>
      <w:r w:rsidRPr="00ED649A">
        <w:rPr>
          <w:rStyle w:val="FootnoteReference"/>
          <w:sz w:val="16"/>
          <w:szCs w:val="16"/>
        </w:rPr>
        <w:footnoteRef/>
      </w:r>
      <w:r w:rsidRPr="00ED649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2020. – 2022. </w:t>
      </w:r>
      <w:r>
        <w:rPr>
          <w:rFonts w:ascii="Times New Roman" w:hAnsi="Times New Roman" w:cs="Times New Roman"/>
          <w:sz w:val="16"/>
          <w:szCs w:val="16"/>
        </w:rPr>
        <w:t>naziv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programa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pobliže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određuje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Efikasna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koordinacija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provođenja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strateškog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okvira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reforme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javne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uprave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pravde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poslova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integracija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sektoru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pravde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uprave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BiH</w:t>
      </w:r>
      <w:r w:rsidRPr="00ED649A">
        <w:rPr>
          <w:rFonts w:ascii="Times New Roman" w:hAnsi="Times New Roman" w:cs="Times New Roman"/>
          <w:sz w:val="16"/>
          <w:szCs w:val="16"/>
        </w:rPr>
        <w:t>“.</w:t>
      </w:r>
    </w:p>
  </w:footnote>
  <w:footnote w:id="9">
    <w:p w14:paraId="78C67686" w14:textId="4E708C82" w:rsidR="00DD47B7" w:rsidRPr="00ED649A" w:rsidRDefault="00DD47B7" w:rsidP="008B7B0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2022. – 2024. </w:t>
      </w:r>
      <w:r>
        <w:rPr>
          <w:rFonts w:ascii="Times New Roman" w:hAnsi="Times New Roman" w:cs="Times New Roman"/>
          <w:sz w:val="16"/>
          <w:szCs w:val="16"/>
        </w:rPr>
        <w:t>pokazatelj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BA"/>
        </w:rPr>
        <w:t>briše</w:t>
      </w:r>
      <w:r w:rsidRPr="00ED649A">
        <w:rPr>
          <w:rFonts w:ascii="Times New Roman" w:hAnsi="Times New Roman" w:cs="Times New Roman"/>
          <w:sz w:val="16"/>
          <w:szCs w:val="16"/>
        </w:rPr>
        <w:t>.</w:t>
      </w:r>
    </w:p>
  </w:footnote>
  <w:footnote w:id="10">
    <w:p w14:paraId="03D3BB50" w14:textId="732751BA" w:rsidR="00DD47B7" w:rsidRPr="00ED649A" w:rsidRDefault="00DD47B7" w:rsidP="008B7B05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obzirom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normativno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pravni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propisi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pobrajavaju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dodatnoj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tabeli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AP</w:t>
      </w:r>
      <w:r w:rsidRPr="00ED649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odlučeno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pokazatelj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broja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prijedloga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gasi</w:t>
      </w:r>
      <w:r w:rsidRPr="00ED649A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11">
    <w:p w14:paraId="70BDDD26" w14:textId="69C87936" w:rsidR="00DD47B7" w:rsidRPr="00C735C3" w:rsidRDefault="00DD47B7" w:rsidP="008B7B05">
      <w:pPr>
        <w:pStyle w:val="FootnoteText"/>
        <w:jc w:val="both"/>
        <w:rPr>
          <w:sz w:val="18"/>
          <w:szCs w:val="18"/>
        </w:rPr>
      </w:pPr>
      <w:r w:rsidRPr="00ED649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SPR</w:t>
      </w:r>
      <w:r w:rsidRPr="00ED649A">
        <w:rPr>
          <w:rFonts w:ascii="Times New Roman" w:hAnsi="Times New Roman" w:cs="Times New Roman"/>
          <w:sz w:val="16"/>
          <w:szCs w:val="16"/>
        </w:rPr>
        <w:t xml:space="preserve"> 2022. – 2024. </w:t>
      </w:r>
      <w:r>
        <w:rPr>
          <w:rFonts w:ascii="Times New Roman" w:hAnsi="Times New Roman" w:cs="Times New Roman"/>
          <w:sz w:val="16"/>
          <w:szCs w:val="16"/>
        </w:rPr>
        <w:t>pokazatelj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mijenja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glasi</w:t>
      </w:r>
      <w:r w:rsidRPr="00ED649A">
        <w:rPr>
          <w:rFonts w:ascii="Times New Roman" w:hAnsi="Times New Roman" w:cs="Times New Roman"/>
          <w:sz w:val="16"/>
          <w:szCs w:val="16"/>
        </w:rPr>
        <w:t>: „</w:t>
      </w:r>
      <w:r>
        <w:rPr>
          <w:rFonts w:ascii="Times New Roman" w:hAnsi="Times New Roman" w:cs="Times New Roman"/>
          <w:sz w:val="16"/>
          <w:szCs w:val="16"/>
        </w:rPr>
        <w:t>Stepen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napretka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BiH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praćen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kroz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EU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izvještaje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za</w:t>
      </w:r>
      <w:r w:rsidRPr="00ED64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BiH</w:t>
      </w:r>
      <w:r w:rsidRPr="00ED649A">
        <w:rPr>
          <w:rFonts w:ascii="Times New Roman" w:hAnsi="Times New Roman" w:cs="Times New Roman"/>
          <w:sz w:val="16"/>
          <w:szCs w:val="16"/>
        </w:rPr>
        <w:t>“.</w:t>
      </w:r>
    </w:p>
  </w:footnote>
  <w:footnote w:id="12">
    <w:p w14:paraId="6CAD78E0" w14:textId="4C5B94EE" w:rsidR="00DD47B7" w:rsidRPr="00C735C3" w:rsidRDefault="00DD47B7" w:rsidP="008B7B05">
      <w:pPr>
        <w:spacing w:after="0" w:line="240" w:lineRule="auto"/>
        <w:jc w:val="both"/>
        <w:rPr>
          <w:sz w:val="18"/>
          <w:szCs w:val="18"/>
        </w:rPr>
      </w:pPr>
      <w:r w:rsidRPr="00C735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</w:t>
      </w:r>
      <w:r>
        <w:rPr>
          <w:rFonts w:ascii="Times New Roman" w:hAnsi="Times New Roman" w:cs="Times New Roman"/>
          <w:bCs/>
          <w:iCs/>
          <w:sz w:val="18"/>
          <w:szCs w:val="18"/>
        </w:rPr>
        <w:t>sebni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cilj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14.2.: </w:t>
      </w:r>
      <w:r>
        <w:rPr>
          <w:rFonts w:ascii="Times New Roman" w:hAnsi="Times New Roman" w:cs="Times New Roman"/>
          <w:bCs/>
          <w:iCs/>
          <w:sz w:val="18"/>
          <w:szCs w:val="18"/>
        </w:rPr>
        <w:t>Stvoriti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pretpostavke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za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aktivnije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učešće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civilnog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društva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, </w:t>
      </w:r>
      <w:r>
        <w:rPr>
          <w:rFonts w:ascii="Times New Roman" w:hAnsi="Times New Roman" w:cs="Times New Roman"/>
          <w:bCs/>
          <w:iCs/>
          <w:sz w:val="18"/>
          <w:szCs w:val="18"/>
        </w:rPr>
        <w:t>unaprijediti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sistem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uprave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upravne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inspekcije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uspješno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koordinirati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sektor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iCs/>
          <w:sz w:val="18"/>
          <w:szCs w:val="18"/>
        </w:rPr>
        <w:t>pravde</w:t>
      </w:r>
      <w:r w:rsidRPr="00C735C3">
        <w:rPr>
          <w:rFonts w:ascii="Times New Roman" w:hAnsi="Times New Roman" w:cs="Times New Roman"/>
          <w:bCs/>
          <w:iCs/>
          <w:sz w:val="18"/>
          <w:szCs w:val="18"/>
        </w:rPr>
        <w:t>.</w:t>
      </w:r>
    </w:p>
  </w:footnote>
  <w:footnote w:id="13">
    <w:p w14:paraId="560320BC" w14:textId="1065ECF9" w:rsidR="00DD47B7" w:rsidRPr="00C735C3" w:rsidRDefault="00DD47B7" w:rsidP="008B7B05">
      <w:pPr>
        <w:pStyle w:val="FootnoteText"/>
        <w:jc w:val="both"/>
        <w:rPr>
          <w:sz w:val="18"/>
          <w:szCs w:val="18"/>
        </w:rPr>
      </w:pPr>
      <w:r w:rsidRPr="00C735C3">
        <w:rPr>
          <w:rStyle w:val="FootnoteReference"/>
          <w:sz w:val="18"/>
          <w:szCs w:val="18"/>
        </w:rPr>
        <w:footnoteRef/>
      </w:r>
      <w:r w:rsidRPr="00C735C3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ovoj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koloni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unesene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ostvarene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vrijednosti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C735C3">
        <w:rPr>
          <w:rFonts w:ascii="Times New Roman" w:hAnsi="Times New Roman" w:cs="Times New Roman"/>
          <w:sz w:val="18"/>
          <w:szCs w:val="18"/>
        </w:rPr>
        <w:t xml:space="preserve"> 2019. </w:t>
      </w:r>
      <w:r>
        <w:rPr>
          <w:rFonts w:ascii="Times New Roman" w:hAnsi="Times New Roman" w:cs="Times New Roman"/>
          <w:sz w:val="18"/>
          <w:szCs w:val="18"/>
        </w:rPr>
        <w:t>godinu</w:t>
      </w:r>
      <w:r w:rsidRPr="00C735C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što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preuzeto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</w:t>
      </w:r>
      <w:r w:rsidRPr="00C735C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C735C3">
        <w:rPr>
          <w:rFonts w:ascii="Times New Roman" w:hAnsi="Times New Roman" w:cs="Times New Roman"/>
          <w:sz w:val="18"/>
          <w:szCs w:val="18"/>
        </w:rPr>
        <w:t xml:space="preserve"> 2021 – 2023.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C735C3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14:paraId="3ED9FF5A" w14:textId="189F5B7C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Efikasnost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efektivnost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donatorske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pomoći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15">
    <w:p w14:paraId="4C2605F9" w14:textId="6F2C2C26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 -2024.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projekta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pobliže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određuje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. „</w:t>
      </w:r>
      <w:r>
        <w:rPr>
          <w:rFonts w:ascii="Times New Roman" w:hAnsi="Times New Roman" w:cs="Times New Roman"/>
          <w:sz w:val="18"/>
          <w:szCs w:val="18"/>
        </w:rPr>
        <w:t>Stopa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zaštite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pristupačnost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registra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zaloga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16">
    <w:p w14:paraId="7128A3C0" w14:textId="388764D0" w:rsidR="00DD47B7" w:rsidRDefault="00DD47B7" w:rsidP="008B7B05">
      <w:pPr>
        <w:pStyle w:val="FootnoteText"/>
        <w:jc w:val="both"/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Tokom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izrade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2021 – 2023.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postojala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namjera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posebno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projekat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vidljivo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naglasi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rad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Jedinice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interne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revizije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kao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rad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Sektora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kadrovske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opšte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materijalno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finansijske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poslove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smo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namjeri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kako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uskladili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Program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institucije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iste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uvrstili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Međutim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uvidom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postupanja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od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ove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namjere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odustalo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BA"/>
        </w:rPr>
        <w:t xml:space="preserve">se </w:t>
      </w:r>
      <w:r>
        <w:rPr>
          <w:rFonts w:ascii="Times New Roman" w:hAnsi="Times New Roman" w:cs="Times New Roman"/>
          <w:sz w:val="18"/>
          <w:szCs w:val="18"/>
        </w:rPr>
        <w:t>isti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nalaie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poslije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 – 2024.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  <w:r>
        <w:t xml:space="preserve"> </w:t>
      </w:r>
    </w:p>
  </w:footnote>
  <w:footnote w:id="17">
    <w:p w14:paraId="69BFF8F9" w14:textId="338EFF15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Posebni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cilj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14.6.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AF3667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Cyrl-BA"/>
        </w:rPr>
        <w:t>Osigurati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stabilnu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pravosudnu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upravu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ojačati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pravosudnu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saradnju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14:paraId="04BF484B" w14:textId="27F51198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neznatno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Stepen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praćenja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provođenja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propisa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strateških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dokumenata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oblasti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pravosuđa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19">
    <w:p w14:paraId="394524F0" w14:textId="2CF8CEF7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neznatno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Zahtjevi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polaganjem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pravosudnog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ispita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20">
    <w:p w14:paraId="2CA6CDCD" w14:textId="4424EBD8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tako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objedinjuje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funkcije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OKO</w:t>
      </w:r>
      <w:r w:rsidRPr="00AF366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Stepen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pružene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krivične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pomoći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edukacije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krivičnim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stvarima</w:t>
      </w:r>
      <w:r w:rsidRPr="00AF3667">
        <w:rPr>
          <w:rFonts w:ascii="Times New Roman" w:hAnsi="Times New Roman" w:cs="Times New Roman"/>
          <w:sz w:val="18"/>
          <w:szCs w:val="18"/>
        </w:rPr>
        <w:t xml:space="preserve">“,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skladu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tim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izračunava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postotak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odnosu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planirano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1">
    <w:p w14:paraId="1631F74F" w14:textId="7F4A5122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neznatno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način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izračuna</w:t>
      </w:r>
      <w:r>
        <w:rPr>
          <w:rFonts w:ascii="Times New Roman" w:hAnsi="Times New Roman" w:cs="Times New Roman"/>
          <w:sz w:val="18"/>
          <w:szCs w:val="18"/>
          <w:lang w:val="sr-Cyrl-BA"/>
        </w:rPr>
        <w:t>vanja,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Stepen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efikasnosti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efektivnosti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Sudske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policije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koji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BA"/>
        </w:rPr>
        <w:t>obezbjeđuje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uspješno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odvijanje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sudskih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postupaka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22">
    <w:p w14:paraId="2C77CD5B" w14:textId="325FD238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Određena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nova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vrijednost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3">
    <w:p w14:paraId="15E95044" w14:textId="6A3A65A4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programa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Međunarodna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pravosudna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usklađivanje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zakonodavstva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međunarodnim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standardima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24">
    <w:p w14:paraId="32B90DE1" w14:textId="3BB6FEF8" w:rsidR="00DD47B7" w:rsidRPr="003440AC" w:rsidRDefault="00DD47B7" w:rsidP="00B04DDA">
      <w:pPr>
        <w:pStyle w:val="FootnoteText"/>
        <w:jc w:val="both"/>
        <w:rPr>
          <w:rFonts w:ascii="Times New Roman" w:hAnsi="Times New Roman" w:cs="Times New Roman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Prvi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uvodi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25">
    <w:p w14:paraId="00564E07" w14:textId="3B988907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Posebni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cilj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14.6.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AF3667">
        <w:rPr>
          <w:rFonts w:ascii="Times New Roman" w:hAnsi="Times New Roman" w:cs="Times New Roman"/>
          <w:sz w:val="18"/>
          <w:szCs w:val="18"/>
        </w:rPr>
        <w:t xml:space="preserve"> : </w:t>
      </w:r>
      <w:r>
        <w:rPr>
          <w:rFonts w:ascii="Times New Roman" w:hAnsi="Times New Roman" w:cs="Times New Roman"/>
          <w:sz w:val="18"/>
          <w:szCs w:val="18"/>
          <w:lang w:val="sr-Cyrl-BA"/>
        </w:rPr>
        <w:t>Osigurati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human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zakonit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tretman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resocijalizaciju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zatvorenika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pritvorenika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26">
    <w:p w14:paraId="09FC1B7E" w14:textId="7C940580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programa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Učinkovito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rukovođenje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sistemom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izvršenje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kaznenih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sankcija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27">
    <w:p w14:paraId="27B7660D" w14:textId="4E39B078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Izgradnjom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puštanjem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funkciju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Zavoda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izvršenje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kaznenih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sankcija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pritvora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drugih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mjera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ovaj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BA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gasi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28">
    <w:p w14:paraId="41D2C832" w14:textId="7E8D0A1C" w:rsidR="00DD47B7" w:rsidRPr="00AF3667" w:rsidRDefault="00DD47B7" w:rsidP="00B04DDA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obirom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ostvarenje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ranijeg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tokom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izrade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Izrečene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provedene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alternativne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sankcije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29">
    <w:p w14:paraId="4E56FBB2" w14:textId="7699577C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Broj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izrečenih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alternativnih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sankcija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toku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30">
    <w:p w14:paraId="7A02AF6E" w14:textId="700306F3" w:rsidR="00DD47B7" w:rsidRPr="00AF3667" w:rsidRDefault="00DD47B7" w:rsidP="00B04DDA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Broj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izrečenih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alternativnih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sankcija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toku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2021.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31">
    <w:p w14:paraId="54111202" w14:textId="32E5393E" w:rsidR="00DD47B7" w:rsidRDefault="00DD47B7" w:rsidP="00B04DDA">
      <w:pPr>
        <w:pStyle w:val="FootnoteText"/>
        <w:jc w:val="both"/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– 2024.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nezantno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Pretpostavke</w:t>
      </w:r>
      <w:r w:rsidRPr="00AF366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uvođenje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praćenja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stepena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primjene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međunarodnih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standarda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32">
    <w:p w14:paraId="2DECCB17" w14:textId="1C0120DC" w:rsidR="00DD47B7" w:rsidRPr="00C71C82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sr-Cyrl-BA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Posebni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cilj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14. 6.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AF3667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sr-Cyrl-BA"/>
        </w:rPr>
        <w:t>Osigurati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pružanje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međunarodne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pomoći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saradnje</w:t>
      </w:r>
      <w:r>
        <w:rPr>
          <w:rFonts w:ascii="Times New Roman" w:hAnsi="Times New Roman" w:cs="Times New Roman"/>
          <w:sz w:val="18"/>
          <w:szCs w:val="18"/>
          <w:lang w:val="sr-Cyrl-BA"/>
        </w:rPr>
        <w:t>.</w:t>
      </w:r>
    </w:p>
  </w:footnote>
  <w:footnote w:id="33">
    <w:p w14:paraId="70380E90" w14:textId="1FD9A51E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2020. – 2022.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programa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odnosno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proširuje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Pružanje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međunarodne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međuentitetske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pomoći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institucionalne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posebno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sudovima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tužilaštvima</w:t>
      </w:r>
      <w:r w:rsidRPr="00AF3667">
        <w:rPr>
          <w:rFonts w:ascii="Times New Roman" w:hAnsi="Times New Roman" w:cs="Times New Roman"/>
          <w:sz w:val="18"/>
          <w:szCs w:val="18"/>
        </w:rPr>
        <w:t>“</w:t>
      </w:r>
    </w:p>
  </w:footnote>
  <w:footnote w:id="34">
    <w:p w14:paraId="3193A904" w14:textId="0FE036EC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 – 2022.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Nacrt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Zakona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propisa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koji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upućuju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BA"/>
        </w:rPr>
        <w:t>S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35">
    <w:p w14:paraId="08C7DE4A" w14:textId="343FEC9B" w:rsidR="00DD47B7" w:rsidRPr="00AF3667" w:rsidRDefault="00DD47B7" w:rsidP="008B7B05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 -2024.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kako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jasnije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povezao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novim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nozivom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projekta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koji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određen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>
        <w:rPr>
          <w:rFonts w:ascii="Times New Roman" w:hAnsi="Times New Roman" w:cs="Times New Roman"/>
          <w:sz w:val="18"/>
          <w:szCs w:val="18"/>
          <w:lang w:val="sr-Cyrl-BA"/>
        </w:rPr>
        <w:t>-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2020. – 2022.,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Efikasnost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saradnje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sudovima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tužilaštvima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postupanju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zamolnicama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36">
    <w:p w14:paraId="76A77C92" w14:textId="4770B370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Prvi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uvodi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ovaj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37">
    <w:p w14:paraId="27CE25DA" w14:textId="18069019" w:rsidR="00DD47B7" w:rsidRPr="00AF3667" w:rsidRDefault="00DD47B7" w:rsidP="008B7B05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Novi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uvodi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38">
    <w:p w14:paraId="1262D604" w14:textId="22F4F3E7" w:rsidR="00DD47B7" w:rsidRPr="00AF3667" w:rsidRDefault="00DD47B7" w:rsidP="008B7B05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2020. – 2022.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programa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odnosno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proširuje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Pristupanje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provođenje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konvencija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zaključivanje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postupanje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ugovorima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39">
    <w:p w14:paraId="74B91D5C" w14:textId="24F17C0F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obzirom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sadržaj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naziv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usklađuje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mjerenjem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izrađuje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indeksacija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vrijednostima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</w:t>
      </w:r>
      <w:r w:rsidRPr="00AF3667">
        <w:rPr>
          <w:rFonts w:ascii="Times New Roman" w:hAnsi="Times New Roman" w:cs="Times New Roman"/>
          <w:sz w:val="18"/>
          <w:szCs w:val="18"/>
        </w:rPr>
        <w:t xml:space="preserve"> 1 </w:t>
      </w:r>
      <w:r>
        <w:rPr>
          <w:rFonts w:ascii="Times New Roman" w:hAnsi="Times New Roman" w:cs="Times New Roman"/>
          <w:sz w:val="18"/>
          <w:szCs w:val="18"/>
        </w:rPr>
        <w:t>do</w:t>
      </w:r>
      <w:r w:rsidRPr="00AF3667">
        <w:rPr>
          <w:rFonts w:ascii="Times New Roman" w:hAnsi="Times New Roman" w:cs="Times New Roman"/>
          <w:sz w:val="18"/>
          <w:szCs w:val="18"/>
        </w:rPr>
        <w:t xml:space="preserve"> 3. </w:t>
      </w:r>
    </w:p>
  </w:footnote>
  <w:footnote w:id="40">
    <w:p w14:paraId="7CA83E51" w14:textId="45A97296" w:rsidR="00DD47B7" w:rsidRPr="00AF3667" w:rsidRDefault="00DD47B7" w:rsidP="008B7B0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Prvi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put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uvodi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ovaj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41">
    <w:p w14:paraId="5D6B98D8" w14:textId="274DD78B" w:rsidR="00DD47B7" w:rsidRDefault="00DD47B7" w:rsidP="008B7B05">
      <w:pPr>
        <w:pStyle w:val="FootnoteText"/>
        <w:jc w:val="both"/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2021.  -2023.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kako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jasnije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povezao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novim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nazivom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projekta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koji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određen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2020. – 2022.,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: „</w:t>
      </w:r>
      <w:r>
        <w:rPr>
          <w:rFonts w:ascii="Times New Roman" w:hAnsi="Times New Roman" w:cs="Times New Roman"/>
          <w:sz w:val="18"/>
          <w:szCs w:val="18"/>
        </w:rPr>
        <w:t>Akcija</w:t>
      </w:r>
      <w:r w:rsidRPr="00AF3667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>usaglašavanja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ugovornih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strana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pristupanja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“.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tek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uvodi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počinje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pratiti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od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2021. </w:t>
      </w:r>
      <w:r>
        <w:rPr>
          <w:rFonts w:ascii="Times New Roman" w:hAnsi="Times New Roman" w:cs="Times New Roman"/>
          <w:sz w:val="18"/>
          <w:szCs w:val="18"/>
        </w:rPr>
        <w:t>godine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42">
    <w:p w14:paraId="03D37435" w14:textId="21A1E0DD" w:rsidR="00DD47B7" w:rsidRPr="00AF3667" w:rsidRDefault="00DD47B7" w:rsidP="00EB2827">
      <w:pPr>
        <w:pStyle w:val="FootnoteText"/>
        <w:jc w:val="both"/>
        <w:rPr>
          <w:sz w:val="18"/>
          <w:szCs w:val="18"/>
        </w:rPr>
      </w:pPr>
      <w:r w:rsidRPr="00AF3667">
        <w:rPr>
          <w:rStyle w:val="FootnoteReference"/>
          <w:sz w:val="18"/>
          <w:szCs w:val="18"/>
        </w:rPr>
        <w:footnoteRef/>
      </w:r>
      <w:r w:rsidRPr="00AF3667"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Važno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napomenuti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indeksi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vladavine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preuzimaju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drugog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dokumenta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obrada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podataka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izrada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dokumenta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vrši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godinu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koja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protekla</w:t>
      </w:r>
      <w:r w:rsidRPr="00AF36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tako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ustvari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ovo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ostvarena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vrijesnost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uvijek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godinu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iza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  <w:footnote w:id="43">
    <w:p w14:paraId="621DD1A5" w14:textId="10A30AF3" w:rsidR="00DD47B7" w:rsidRPr="006D799B" w:rsidRDefault="00DD47B7" w:rsidP="00EB282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B28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Indeks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vladavine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prava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preuzet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dokumenta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 w:rsidRPr="007437F5">
        <w:rPr>
          <w:rFonts w:ascii="Times New Roman" w:hAnsi="Times New Roman" w:cs="Times New Roman"/>
          <w:sz w:val="18"/>
          <w:szCs w:val="18"/>
        </w:rPr>
        <w:t xml:space="preserve">World Justice Project </w:t>
      </w:r>
      <w:r w:rsidRPr="00EB2827">
        <w:rPr>
          <w:rFonts w:ascii="Times New Roman" w:hAnsi="Times New Roman" w:cs="Times New Roman"/>
          <w:sz w:val="18"/>
          <w:szCs w:val="18"/>
        </w:rPr>
        <w:t xml:space="preserve">– </w:t>
      </w:r>
      <w:r w:rsidRPr="007437F5">
        <w:rPr>
          <w:rFonts w:ascii="Times New Roman" w:hAnsi="Times New Roman" w:cs="Times New Roman"/>
          <w:sz w:val="18"/>
          <w:szCs w:val="18"/>
        </w:rPr>
        <w:t xml:space="preserve">Rule of Law </w:t>
      </w:r>
      <w:r>
        <w:rPr>
          <w:rFonts w:ascii="Times New Roman" w:hAnsi="Times New Roman" w:cs="Times New Roman"/>
          <w:sz w:val="18"/>
          <w:szCs w:val="18"/>
        </w:rPr>
        <w:t>Index</w:t>
      </w:r>
      <w:r w:rsidRPr="00EB282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Isti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mjeri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različite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segmente</w:t>
      </w:r>
      <w:r w:rsidRPr="00EB282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prava</w:t>
      </w:r>
      <w:r w:rsidRPr="00EB2827">
        <w:rPr>
          <w:rFonts w:ascii="Times New Roman" w:hAnsi="Times New Roman" w:cs="Times New Roman"/>
          <w:sz w:val="18"/>
          <w:szCs w:val="18"/>
        </w:rPr>
        <w:t>.</w:t>
      </w:r>
    </w:p>
  </w:footnote>
  <w:footnote w:id="44">
    <w:p w14:paraId="2D009038" w14:textId="6B058FD3" w:rsidR="00DD47B7" w:rsidRPr="00AF3667" w:rsidRDefault="00DD47B7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</w:t>
      </w:r>
      <w:r w:rsidRPr="00AF3667">
        <w:rPr>
          <w:rFonts w:ascii="Times New Roman" w:hAnsi="Times New Roman" w:cs="Times New Roman"/>
          <w:sz w:val="18"/>
          <w:szCs w:val="18"/>
        </w:rPr>
        <w:t xml:space="preserve"> 2022.  -2024. </w:t>
      </w:r>
      <w:r>
        <w:rPr>
          <w:rFonts w:ascii="Times New Roman" w:hAnsi="Times New Roman" w:cs="Times New Roman"/>
          <w:sz w:val="18"/>
          <w:szCs w:val="18"/>
        </w:rPr>
        <w:t>pokazatelj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mijenja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glasi</w:t>
      </w:r>
      <w:r w:rsidRPr="00AF3667">
        <w:rPr>
          <w:rFonts w:ascii="Times New Roman" w:hAnsi="Times New Roman" w:cs="Times New Roman"/>
          <w:sz w:val="18"/>
          <w:szCs w:val="18"/>
        </w:rPr>
        <w:t>. „</w:t>
      </w:r>
      <w:r>
        <w:rPr>
          <w:rFonts w:ascii="Times New Roman" w:hAnsi="Times New Roman" w:cs="Times New Roman"/>
          <w:sz w:val="18"/>
          <w:szCs w:val="18"/>
        </w:rPr>
        <w:t>Stepen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ispunjenja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AP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SRSP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oblast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pravosuđa</w:t>
      </w:r>
      <w:r w:rsidRPr="00AF3667">
        <w:rPr>
          <w:rFonts w:ascii="Times New Roman" w:hAnsi="Times New Roman" w:cs="Times New Roman"/>
          <w:sz w:val="18"/>
          <w:szCs w:val="18"/>
        </w:rPr>
        <w:t>“.</w:t>
      </w:r>
    </w:p>
  </w:footnote>
  <w:footnote w:id="45">
    <w:p w14:paraId="09A96FB1" w14:textId="4D25FA5E" w:rsidR="00DD47B7" w:rsidRPr="006D799B" w:rsidRDefault="00DD47B7" w:rsidP="003735C5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AF366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Indeks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vladavine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BiH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preuzet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iz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dokumenta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 w:rsidRPr="007437F5">
        <w:rPr>
          <w:rFonts w:ascii="Times New Roman" w:hAnsi="Times New Roman" w:cs="Times New Roman"/>
          <w:sz w:val="18"/>
          <w:szCs w:val="18"/>
        </w:rPr>
        <w:t xml:space="preserve">World Justice Project </w:t>
      </w:r>
      <w:r w:rsidRPr="00EB2827">
        <w:rPr>
          <w:rFonts w:ascii="Times New Roman" w:hAnsi="Times New Roman" w:cs="Times New Roman"/>
          <w:sz w:val="18"/>
          <w:szCs w:val="18"/>
        </w:rPr>
        <w:t xml:space="preserve">– </w:t>
      </w:r>
      <w:r w:rsidRPr="007437F5">
        <w:rPr>
          <w:rFonts w:ascii="Times New Roman" w:hAnsi="Times New Roman" w:cs="Times New Roman"/>
          <w:sz w:val="18"/>
          <w:szCs w:val="18"/>
        </w:rPr>
        <w:t xml:space="preserve">Rule of Law </w:t>
      </w:r>
      <w:r>
        <w:rPr>
          <w:rFonts w:ascii="Times New Roman" w:hAnsi="Times New Roman" w:cs="Times New Roman"/>
          <w:sz w:val="18"/>
          <w:szCs w:val="18"/>
        </w:rPr>
        <w:t>Index</w:t>
      </w:r>
      <w:r w:rsidRPr="00AF366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Isti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mjeri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različite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segmente</w:t>
      </w:r>
      <w:r w:rsidRPr="00AF366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prava</w:t>
      </w:r>
      <w:r w:rsidRPr="00AF3667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193"/>
    <w:multiLevelType w:val="hybridMultilevel"/>
    <w:tmpl w:val="EA30B32E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7373F"/>
    <w:multiLevelType w:val="hybridMultilevel"/>
    <w:tmpl w:val="A62C6410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F3F0F4F"/>
    <w:multiLevelType w:val="hybridMultilevel"/>
    <w:tmpl w:val="B9962A2A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B6BE5"/>
    <w:multiLevelType w:val="hybridMultilevel"/>
    <w:tmpl w:val="97AAD4AA"/>
    <w:lvl w:ilvl="0" w:tplc="E83CD4B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0502"/>
    <w:multiLevelType w:val="hybridMultilevel"/>
    <w:tmpl w:val="AC3ABCA8"/>
    <w:lvl w:ilvl="0" w:tplc="141A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9B61B28"/>
    <w:multiLevelType w:val="multilevel"/>
    <w:tmpl w:val="06B6E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6" w15:restartNumberingAfterBreak="0">
    <w:nsid w:val="20242F89"/>
    <w:multiLevelType w:val="hybridMultilevel"/>
    <w:tmpl w:val="CBE6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C3B"/>
    <w:multiLevelType w:val="hybridMultilevel"/>
    <w:tmpl w:val="170C7136"/>
    <w:lvl w:ilvl="0" w:tplc="A9F0D31C">
      <w:numFmt w:val="bullet"/>
      <w:lvlText w:val="-"/>
      <w:lvlJc w:val="left"/>
      <w:pPr>
        <w:ind w:left="-351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278C6E57"/>
    <w:multiLevelType w:val="hybridMultilevel"/>
    <w:tmpl w:val="F6FE069E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27449"/>
    <w:multiLevelType w:val="hybridMultilevel"/>
    <w:tmpl w:val="CA84CE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0942"/>
    <w:multiLevelType w:val="hybridMultilevel"/>
    <w:tmpl w:val="1A86C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B60B3"/>
    <w:multiLevelType w:val="hybridMultilevel"/>
    <w:tmpl w:val="09AA4008"/>
    <w:lvl w:ilvl="0" w:tplc="B0400138">
      <w:start w:val="2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1A534F"/>
    <w:multiLevelType w:val="hybridMultilevel"/>
    <w:tmpl w:val="847044BC"/>
    <w:lvl w:ilvl="0" w:tplc="BAA4E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E5790"/>
    <w:multiLevelType w:val="hybridMultilevel"/>
    <w:tmpl w:val="E12E5A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48D95E73"/>
    <w:multiLevelType w:val="hybridMultilevel"/>
    <w:tmpl w:val="03DA323E"/>
    <w:lvl w:ilvl="0" w:tplc="1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D09CB"/>
    <w:multiLevelType w:val="hybridMultilevel"/>
    <w:tmpl w:val="D892E9F6"/>
    <w:lvl w:ilvl="0" w:tplc="141A0011">
      <w:start w:val="1"/>
      <w:numFmt w:val="decimal"/>
      <w:lvlText w:val="%1)"/>
      <w:lvlJc w:val="left"/>
      <w:pPr>
        <w:ind w:left="-351" w:hanging="360"/>
      </w:pPr>
    </w:lvl>
    <w:lvl w:ilvl="1" w:tplc="141A0019" w:tentative="1">
      <w:start w:val="1"/>
      <w:numFmt w:val="lowerLetter"/>
      <w:lvlText w:val="%2."/>
      <w:lvlJc w:val="left"/>
      <w:pPr>
        <w:ind w:left="369" w:hanging="360"/>
      </w:pPr>
    </w:lvl>
    <w:lvl w:ilvl="2" w:tplc="141A001B" w:tentative="1">
      <w:start w:val="1"/>
      <w:numFmt w:val="lowerRoman"/>
      <w:lvlText w:val="%3."/>
      <w:lvlJc w:val="right"/>
      <w:pPr>
        <w:ind w:left="1089" w:hanging="180"/>
      </w:pPr>
    </w:lvl>
    <w:lvl w:ilvl="3" w:tplc="141A000F" w:tentative="1">
      <w:start w:val="1"/>
      <w:numFmt w:val="decimal"/>
      <w:lvlText w:val="%4."/>
      <w:lvlJc w:val="left"/>
      <w:pPr>
        <w:ind w:left="1809" w:hanging="360"/>
      </w:pPr>
    </w:lvl>
    <w:lvl w:ilvl="4" w:tplc="141A0019" w:tentative="1">
      <w:start w:val="1"/>
      <w:numFmt w:val="lowerLetter"/>
      <w:lvlText w:val="%5."/>
      <w:lvlJc w:val="left"/>
      <w:pPr>
        <w:ind w:left="2529" w:hanging="360"/>
      </w:pPr>
    </w:lvl>
    <w:lvl w:ilvl="5" w:tplc="141A001B" w:tentative="1">
      <w:start w:val="1"/>
      <w:numFmt w:val="lowerRoman"/>
      <w:lvlText w:val="%6."/>
      <w:lvlJc w:val="right"/>
      <w:pPr>
        <w:ind w:left="3249" w:hanging="180"/>
      </w:pPr>
    </w:lvl>
    <w:lvl w:ilvl="6" w:tplc="141A000F" w:tentative="1">
      <w:start w:val="1"/>
      <w:numFmt w:val="decimal"/>
      <w:lvlText w:val="%7."/>
      <w:lvlJc w:val="left"/>
      <w:pPr>
        <w:ind w:left="3969" w:hanging="360"/>
      </w:pPr>
    </w:lvl>
    <w:lvl w:ilvl="7" w:tplc="141A0019" w:tentative="1">
      <w:start w:val="1"/>
      <w:numFmt w:val="lowerLetter"/>
      <w:lvlText w:val="%8."/>
      <w:lvlJc w:val="left"/>
      <w:pPr>
        <w:ind w:left="4689" w:hanging="360"/>
      </w:pPr>
    </w:lvl>
    <w:lvl w:ilvl="8" w:tplc="141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5B6E654F"/>
    <w:multiLevelType w:val="hybridMultilevel"/>
    <w:tmpl w:val="CDB426BE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337882"/>
    <w:multiLevelType w:val="hybridMultilevel"/>
    <w:tmpl w:val="3CAAC44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62E55"/>
    <w:multiLevelType w:val="hybridMultilevel"/>
    <w:tmpl w:val="7B5AC0D2"/>
    <w:lvl w:ilvl="0" w:tplc="A8A67F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4A9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452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83C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8D9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8AC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43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256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E2A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942319"/>
    <w:multiLevelType w:val="hybridMultilevel"/>
    <w:tmpl w:val="323ECC04"/>
    <w:lvl w:ilvl="0" w:tplc="BCF469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6BC52AE8"/>
    <w:multiLevelType w:val="hybridMultilevel"/>
    <w:tmpl w:val="A37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23F"/>
    <w:multiLevelType w:val="hybridMultilevel"/>
    <w:tmpl w:val="E12870DA"/>
    <w:lvl w:ilvl="0" w:tplc="141A0011">
      <w:start w:val="1"/>
      <w:numFmt w:val="decimal"/>
      <w:lvlText w:val="%1)"/>
      <w:lvlJc w:val="left"/>
      <w:pPr>
        <w:ind w:left="1778" w:hanging="360"/>
      </w:pPr>
    </w:lvl>
    <w:lvl w:ilvl="1" w:tplc="141A0019" w:tentative="1">
      <w:start w:val="1"/>
      <w:numFmt w:val="lowerLetter"/>
      <w:lvlText w:val="%2."/>
      <w:lvlJc w:val="left"/>
      <w:pPr>
        <w:ind w:left="2498" w:hanging="360"/>
      </w:pPr>
    </w:lvl>
    <w:lvl w:ilvl="2" w:tplc="141A001B" w:tentative="1">
      <w:start w:val="1"/>
      <w:numFmt w:val="lowerRoman"/>
      <w:lvlText w:val="%3."/>
      <w:lvlJc w:val="right"/>
      <w:pPr>
        <w:ind w:left="3218" w:hanging="180"/>
      </w:pPr>
    </w:lvl>
    <w:lvl w:ilvl="3" w:tplc="141A000F" w:tentative="1">
      <w:start w:val="1"/>
      <w:numFmt w:val="decimal"/>
      <w:lvlText w:val="%4."/>
      <w:lvlJc w:val="left"/>
      <w:pPr>
        <w:ind w:left="3938" w:hanging="360"/>
      </w:pPr>
    </w:lvl>
    <w:lvl w:ilvl="4" w:tplc="141A0019" w:tentative="1">
      <w:start w:val="1"/>
      <w:numFmt w:val="lowerLetter"/>
      <w:lvlText w:val="%5."/>
      <w:lvlJc w:val="left"/>
      <w:pPr>
        <w:ind w:left="4658" w:hanging="360"/>
      </w:pPr>
    </w:lvl>
    <w:lvl w:ilvl="5" w:tplc="141A001B" w:tentative="1">
      <w:start w:val="1"/>
      <w:numFmt w:val="lowerRoman"/>
      <w:lvlText w:val="%6."/>
      <w:lvlJc w:val="right"/>
      <w:pPr>
        <w:ind w:left="5378" w:hanging="180"/>
      </w:pPr>
    </w:lvl>
    <w:lvl w:ilvl="6" w:tplc="141A000F" w:tentative="1">
      <w:start w:val="1"/>
      <w:numFmt w:val="decimal"/>
      <w:lvlText w:val="%7."/>
      <w:lvlJc w:val="left"/>
      <w:pPr>
        <w:ind w:left="6098" w:hanging="360"/>
      </w:pPr>
    </w:lvl>
    <w:lvl w:ilvl="7" w:tplc="141A0019" w:tentative="1">
      <w:start w:val="1"/>
      <w:numFmt w:val="lowerLetter"/>
      <w:lvlText w:val="%8."/>
      <w:lvlJc w:val="left"/>
      <w:pPr>
        <w:ind w:left="6818" w:hanging="360"/>
      </w:pPr>
    </w:lvl>
    <w:lvl w:ilvl="8" w:tplc="1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F705EED"/>
    <w:multiLevelType w:val="hybridMultilevel"/>
    <w:tmpl w:val="0AD857AE"/>
    <w:lvl w:ilvl="0" w:tplc="A9F0D31C">
      <w:numFmt w:val="bullet"/>
      <w:lvlText w:val="-"/>
      <w:lvlJc w:val="left"/>
      <w:pPr>
        <w:ind w:left="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715D43AF"/>
    <w:multiLevelType w:val="hybridMultilevel"/>
    <w:tmpl w:val="44FC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C37A8"/>
    <w:multiLevelType w:val="multilevel"/>
    <w:tmpl w:val="D4881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2A59A9"/>
    <w:multiLevelType w:val="multilevel"/>
    <w:tmpl w:val="06B6E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26" w15:restartNumberingAfterBreak="0">
    <w:nsid w:val="7A614009"/>
    <w:multiLevelType w:val="hybridMultilevel"/>
    <w:tmpl w:val="BCC096E0"/>
    <w:lvl w:ilvl="0" w:tplc="141A0011">
      <w:start w:val="1"/>
      <w:numFmt w:val="decimal"/>
      <w:lvlText w:val="%1)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787767"/>
    <w:multiLevelType w:val="hybridMultilevel"/>
    <w:tmpl w:val="6032B780"/>
    <w:lvl w:ilvl="0" w:tplc="A9F0D3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2"/>
  </w:num>
  <w:num w:numId="4">
    <w:abstractNumId w:val="1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13"/>
  </w:num>
  <w:num w:numId="12">
    <w:abstractNumId w:val="20"/>
  </w:num>
  <w:num w:numId="13">
    <w:abstractNumId w:val="6"/>
  </w:num>
  <w:num w:numId="14">
    <w:abstractNumId w:val="25"/>
  </w:num>
  <w:num w:numId="15">
    <w:abstractNumId w:val="5"/>
  </w:num>
  <w:num w:numId="16">
    <w:abstractNumId w:val="10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4"/>
  </w:num>
  <w:num w:numId="22">
    <w:abstractNumId w:val="8"/>
  </w:num>
  <w:num w:numId="23">
    <w:abstractNumId w:val="12"/>
  </w:num>
  <w:num w:numId="24">
    <w:abstractNumId w:val="16"/>
  </w:num>
  <w:num w:numId="25">
    <w:abstractNumId w:val="15"/>
  </w:num>
  <w:num w:numId="26">
    <w:abstractNumId w:val="26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AB"/>
    <w:rsid w:val="00004C6D"/>
    <w:rsid w:val="0000583A"/>
    <w:rsid w:val="0001177B"/>
    <w:rsid w:val="00012F5E"/>
    <w:rsid w:val="00014C19"/>
    <w:rsid w:val="00017087"/>
    <w:rsid w:val="00017569"/>
    <w:rsid w:val="00017794"/>
    <w:rsid w:val="00024CBC"/>
    <w:rsid w:val="00026CA8"/>
    <w:rsid w:val="00032B50"/>
    <w:rsid w:val="0003364C"/>
    <w:rsid w:val="00034C3C"/>
    <w:rsid w:val="0004549D"/>
    <w:rsid w:val="0005628F"/>
    <w:rsid w:val="00060A02"/>
    <w:rsid w:val="00062B86"/>
    <w:rsid w:val="0006619F"/>
    <w:rsid w:val="00074D18"/>
    <w:rsid w:val="00080DDB"/>
    <w:rsid w:val="00083984"/>
    <w:rsid w:val="00091695"/>
    <w:rsid w:val="000963C4"/>
    <w:rsid w:val="00096838"/>
    <w:rsid w:val="000A49E7"/>
    <w:rsid w:val="000A5057"/>
    <w:rsid w:val="000A62E4"/>
    <w:rsid w:val="000B4E2A"/>
    <w:rsid w:val="000B7EC9"/>
    <w:rsid w:val="000C2561"/>
    <w:rsid w:val="000C4A9F"/>
    <w:rsid w:val="000C79BD"/>
    <w:rsid w:val="000D63EA"/>
    <w:rsid w:val="000E3DDB"/>
    <w:rsid w:val="000E726A"/>
    <w:rsid w:val="000F4AFD"/>
    <w:rsid w:val="000F760C"/>
    <w:rsid w:val="000F78A3"/>
    <w:rsid w:val="001101F3"/>
    <w:rsid w:val="00114226"/>
    <w:rsid w:val="0013021E"/>
    <w:rsid w:val="00144CC6"/>
    <w:rsid w:val="001454B7"/>
    <w:rsid w:val="00147C2B"/>
    <w:rsid w:val="00150641"/>
    <w:rsid w:val="00161EC7"/>
    <w:rsid w:val="00163DAD"/>
    <w:rsid w:val="001765D1"/>
    <w:rsid w:val="00183042"/>
    <w:rsid w:val="00190F28"/>
    <w:rsid w:val="001914C9"/>
    <w:rsid w:val="0019430B"/>
    <w:rsid w:val="001969A2"/>
    <w:rsid w:val="001A14D2"/>
    <w:rsid w:val="001A5C09"/>
    <w:rsid w:val="001A7ABE"/>
    <w:rsid w:val="001B20A1"/>
    <w:rsid w:val="001B388F"/>
    <w:rsid w:val="001B5C62"/>
    <w:rsid w:val="001C7D9C"/>
    <w:rsid w:val="001D2CE0"/>
    <w:rsid w:val="001D63FE"/>
    <w:rsid w:val="001E2107"/>
    <w:rsid w:val="002006B2"/>
    <w:rsid w:val="00210CE4"/>
    <w:rsid w:val="00210D66"/>
    <w:rsid w:val="002132F6"/>
    <w:rsid w:val="00220364"/>
    <w:rsid w:val="00220646"/>
    <w:rsid w:val="002221FB"/>
    <w:rsid w:val="0022338A"/>
    <w:rsid w:val="002237D3"/>
    <w:rsid w:val="00224E5A"/>
    <w:rsid w:val="0022533C"/>
    <w:rsid w:val="00230F08"/>
    <w:rsid w:val="00232F97"/>
    <w:rsid w:val="00234FDC"/>
    <w:rsid w:val="002362C9"/>
    <w:rsid w:val="00242373"/>
    <w:rsid w:val="00246DC5"/>
    <w:rsid w:val="002477C5"/>
    <w:rsid w:val="00252BAE"/>
    <w:rsid w:val="00257FF0"/>
    <w:rsid w:val="0026242E"/>
    <w:rsid w:val="00266877"/>
    <w:rsid w:val="00271B5F"/>
    <w:rsid w:val="00276827"/>
    <w:rsid w:val="00276FA8"/>
    <w:rsid w:val="002902F3"/>
    <w:rsid w:val="0029773C"/>
    <w:rsid w:val="002A34A4"/>
    <w:rsid w:val="002A5A86"/>
    <w:rsid w:val="002B0F8D"/>
    <w:rsid w:val="002B35C2"/>
    <w:rsid w:val="002B52E0"/>
    <w:rsid w:val="002C2C11"/>
    <w:rsid w:val="002C2CE9"/>
    <w:rsid w:val="002C5DC4"/>
    <w:rsid w:val="002D0C30"/>
    <w:rsid w:val="002D60DA"/>
    <w:rsid w:val="002D76FB"/>
    <w:rsid w:val="002E0E38"/>
    <w:rsid w:val="002E2A21"/>
    <w:rsid w:val="002E33E5"/>
    <w:rsid w:val="002E3EF5"/>
    <w:rsid w:val="002E70AD"/>
    <w:rsid w:val="002F306D"/>
    <w:rsid w:val="002F5843"/>
    <w:rsid w:val="002F607C"/>
    <w:rsid w:val="002F75D6"/>
    <w:rsid w:val="003125A3"/>
    <w:rsid w:val="00313D28"/>
    <w:rsid w:val="00314007"/>
    <w:rsid w:val="00321B4B"/>
    <w:rsid w:val="00324AFB"/>
    <w:rsid w:val="00331B5D"/>
    <w:rsid w:val="00340251"/>
    <w:rsid w:val="003440AC"/>
    <w:rsid w:val="00352A37"/>
    <w:rsid w:val="003532E0"/>
    <w:rsid w:val="00370B80"/>
    <w:rsid w:val="00371EC0"/>
    <w:rsid w:val="003735C5"/>
    <w:rsid w:val="00373A56"/>
    <w:rsid w:val="003758CD"/>
    <w:rsid w:val="003909B6"/>
    <w:rsid w:val="0039389C"/>
    <w:rsid w:val="00395435"/>
    <w:rsid w:val="00397BBB"/>
    <w:rsid w:val="003A0A4B"/>
    <w:rsid w:val="003A3004"/>
    <w:rsid w:val="003A3FAA"/>
    <w:rsid w:val="003B1D0D"/>
    <w:rsid w:val="003B50D2"/>
    <w:rsid w:val="003C2E4F"/>
    <w:rsid w:val="003C3DDB"/>
    <w:rsid w:val="003C538D"/>
    <w:rsid w:val="003D3DDB"/>
    <w:rsid w:val="003E0E4A"/>
    <w:rsid w:val="003E7C44"/>
    <w:rsid w:val="003F32AE"/>
    <w:rsid w:val="003F37E5"/>
    <w:rsid w:val="003F391D"/>
    <w:rsid w:val="003F4B1B"/>
    <w:rsid w:val="003F7787"/>
    <w:rsid w:val="00414B53"/>
    <w:rsid w:val="00425E5B"/>
    <w:rsid w:val="00426641"/>
    <w:rsid w:val="0043385B"/>
    <w:rsid w:val="00433C9A"/>
    <w:rsid w:val="00441974"/>
    <w:rsid w:val="004454D5"/>
    <w:rsid w:val="0044775D"/>
    <w:rsid w:val="00450B5C"/>
    <w:rsid w:val="00471014"/>
    <w:rsid w:val="00471CE4"/>
    <w:rsid w:val="004730BC"/>
    <w:rsid w:val="00473F89"/>
    <w:rsid w:val="00477062"/>
    <w:rsid w:val="00482574"/>
    <w:rsid w:val="00484F72"/>
    <w:rsid w:val="00486BB0"/>
    <w:rsid w:val="0049291B"/>
    <w:rsid w:val="004948AF"/>
    <w:rsid w:val="004968B8"/>
    <w:rsid w:val="00496FCD"/>
    <w:rsid w:val="004A2D64"/>
    <w:rsid w:val="004A61C3"/>
    <w:rsid w:val="004A72AC"/>
    <w:rsid w:val="004B3395"/>
    <w:rsid w:val="004B3FA4"/>
    <w:rsid w:val="004B7BF3"/>
    <w:rsid w:val="004C08E0"/>
    <w:rsid w:val="004C610F"/>
    <w:rsid w:val="004C6409"/>
    <w:rsid w:val="004D0599"/>
    <w:rsid w:val="004D4197"/>
    <w:rsid w:val="004D45BE"/>
    <w:rsid w:val="004D728C"/>
    <w:rsid w:val="004D7684"/>
    <w:rsid w:val="004E3F54"/>
    <w:rsid w:val="004F0D21"/>
    <w:rsid w:val="004F2C94"/>
    <w:rsid w:val="004F5AA6"/>
    <w:rsid w:val="00504C84"/>
    <w:rsid w:val="0050608C"/>
    <w:rsid w:val="005070A7"/>
    <w:rsid w:val="00507547"/>
    <w:rsid w:val="00507C2D"/>
    <w:rsid w:val="0052578B"/>
    <w:rsid w:val="0052587F"/>
    <w:rsid w:val="0053033A"/>
    <w:rsid w:val="00530824"/>
    <w:rsid w:val="00537D48"/>
    <w:rsid w:val="00542FFD"/>
    <w:rsid w:val="00551FFC"/>
    <w:rsid w:val="00556C97"/>
    <w:rsid w:val="00562998"/>
    <w:rsid w:val="00564C62"/>
    <w:rsid w:val="00567C74"/>
    <w:rsid w:val="00587E1E"/>
    <w:rsid w:val="00591B02"/>
    <w:rsid w:val="00594D29"/>
    <w:rsid w:val="00596AD0"/>
    <w:rsid w:val="005A45D2"/>
    <w:rsid w:val="005A4F77"/>
    <w:rsid w:val="005B272E"/>
    <w:rsid w:val="005B3710"/>
    <w:rsid w:val="005B596B"/>
    <w:rsid w:val="005B709A"/>
    <w:rsid w:val="005C6A39"/>
    <w:rsid w:val="005D59D3"/>
    <w:rsid w:val="005E192D"/>
    <w:rsid w:val="005F0103"/>
    <w:rsid w:val="005F3312"/>
    <w:rsid w:val="00604F8F"/>
    <w:rsid w:val="00612269"/>
    <w:rsid w:val="006211E6"/>
    <w:rsid w:val="006227AC"/>
    <w:rsid w:val="00623856"/>
    <w:rsid w:val="0062402C"/>
    <w:rsid w:val="00631C51"/>
    <w:rsid w:val="006325CE"/>
    <w:rsid w:val="00632CCD"/>
    <w:rsid w:val="00635556"/>
    <w:rsid w:val="00640226"/>
    <w:rsid w:val="006403F1"/>
    <w:rsid w:val="00647309"/>
    <w:rsid w:val="00647E13"/>
    <w:rsid w:val="00650256"/>
    <w:rsid w:val="006617DA"/>
    <w:rsid w:val="00662B88"/>
    <w:rsid w:val="00665B31"/>
    <w:rsid w:val="00666409"/>
    <w:rsid w:val="006764DF"/>
    <w:rsid w:val="0067688F"/>
    <w:rsid w:val="00680D27"/>
    <w:rsid w:val="00684688"/>
    <w:rsid w:val="00684A18"/>
    <w:rsid w:val="006918BA"/>
    <w:rsid w:val="00694BB6"/>
    <w:rsid w:val="00695EDB"/>
    <w:rsid w:val="00696FAF"/>
    <w:rsid w:val="006A60B9"/>
    <w:rsid w:val="006A7790"/>
    <w:rsid w:val="006B06E7"/>
    <w:rsid w:val="006C0D18"/>
    <w:rsid w:val="006D0DC8"/>
    <w:rsid w:val="006D378D"/>
    <w:rsid w:val="006D6FCD"/>
    <w:rsid w:val="006D799B"/>
    <w:rsid w:val="006E1DF1"/>
    <w:rsid w:val="006E3768"/>
    <w:rsid w:val="006E5B56"/>
    <w:rsid w:val="006E66E2"/>
    <w:rsid w:val="006E7631"/>
    <w:rsid w:val="006F0357"/>
    <w:rsid w:val="006F2EB8"/>
    <w:rsid w:val="006F5166"/>
    <w:rsid w:val="0071335D"/>
    <w:rsid w:val="00724171"/>
    <w:rsid w:val="00726482"/>
    <w:rsid w:val="007338DE"/>
    <w:rsid w:val="00741522"/>
    <w:rsid w:val="007431BF"/>
    <w:rsid w:val="007437F5"/>
    <w:rsid w:val="00747672"/>
    <w:rsid w:val="00747BCF"/>
    <w:rsid w:val="00755109"/>
    <w:rsid w:val="00760316"/>
    <w:rsid w:val="007629B5"/>
    <w:rsid w:val="0076381F"/>
    <w:rsid w:val="00767897"/>
    <w:rsid w:val="00776AA6"/>
    <w:rsid w:val="00776BAB"/>
    <w:rsid w:val="00780B95"/>
    <w:rsid w:val="00791935"/>
    <w:rsid w:val="007923BB"/>
    <w:rsid w:val="0079600C"/>
    <w:rsid w:val="007A3490"/>
    <w:rsid w:val="007A44E3"/>
    <w:rsid w:val="007A5DDA"/>
    <w:rsid w:val="007B0B77"/>
    <w:rsid w:val="007B3A34"/>
    <w:rsid w:val="007C2670"/>
    <w:rsid w:val="007C4FD7"/>
    <w:rsid w:val="007C5C66"/>
    <w:rsid w:val="007C7571"/>
    <w:rsid w:val="007D13C6"/>
    <w:rsid w:val="007D473C"/>
    <w:rsid w:val="007D7560"/>
    <w:rsid w:val="007D7733"/>
    <w:rsid w:val="007E0990"/>
    <w:rsid w:val="007E0DB4"/>
    <w:rsid w:val="007E2EE3"/>
    <w:rsid w:val="007E5C7A"/>
    <w:rsid w:val="007E6C76"/>
    <w:rsid w:val="00801A9D"/>
    <w:rsid w:val="00801EEC"/>
    <w:rsid w:val="00802AC9"/>
    <w:rsid w:val="008031D8"/>
    <w:rsid w:val="008052A3"/>
    <w:rsid w:val="00812B63"/>
    <w:rsid w:val="00817242"/>
    <w:rsid w:val="00817728"/>
    <w:rsid w:val="00861B6D"/>
    <w:rsid w:val="00870864"/>
    <w:rsid w:val="00871B69"/>
    <w:rsid w:val="00876186"/>
    <w:rsid w:val="008810B2"/>
    <w:rsid w:val="008815C6"/>
    <w:rsid w:val="00884DD5"/>
    <w:rsid w:val="008972B8"/>
    <w:rsid w:val="008A4D28"/>
    <w:rsid w:val="008B7B05"/>
    <w:rsid w:val="008C33F4"/>
    <w:rsid w:val="008C5B31"/>
    <w:rsid w:val="008D5A9B"/>
    <w:rsid w:val="008E18D4"/>
    <w:rsid w:val="008E2B74"/>
    <w:rsid w:val="008E44FA"/>
    <w:rsid w:val="008E7DA1"/>
    <w:rsid w:val="008F2F3D"/>
    <w:rsid w:val="008F34F0"/>
    <w:rsid w:val="009009CA"/>
    <w:rsid w:val="00902D39"/>
    <w:rsid w:val="00907645"/>
    <w:rsid w:val="00907BD3"/>
    <w:rsid w:val="0092555D"/>
    <w:rsid w:val="00927840"/>
    <w:rsid w:val="00934BD4"/>
    <w:rsid w:val="009524ED"/>
    <w:rsid w:val="0095567B"/>
    <w:rsid w:val="009626F5"/>
    <w:rsid w:val="00966DF3"/>
    <w:rsid w:val="0097228E"/>
    <w:rsid w:val="0097514C"/>
    <w:rsid w:val="00976935"/>
    <w:rsid w:val="00976B76"/>
    <w:rsid w:val="00983EEA"/>
    <w:rsid w:val="00986310"/>
    <w:rsid w:val="009906F2"/>
    <w:rsid w:val="00994E68"/>
    <w:rsid w:val="00996FCA"/>
    <w:rsid w:val="0099766A"/>
    <w:rsid w:val="009A2ED5"/>
    <w:rsid w:val="009B383C"/>
    <w:rsid w:val="009B548E"/>
    <w:rsid w:val="009B5F93"/>
    <w:rsid w:val="009B7279"/>
    <w:rsid w:val="009C1838"/>
    <w:rsid w:val="009C2977"/>
    <w:rsid w:val="009C50E6"/>
    <w:rsid w:val="009C55DD"/>
    <w:rsid w:val="009D6297"/>
    <w:rsid w:val="009E2274"/>
    <w:rsid w:val="009E4BCE"/>
    <w:rsid w:val="009E5FC7"/>
    <w:rsid w:val="009F13AD"/>
    <w:rsid w:val="009F5F1F"/>
    <w:rsid w:val="009F5FE0"/>
    <w:rsid w:val="009F712A"/>
    <w:rsid w:val="009F78A2"/>
    <w:rsid w:val="00A03AFC"/>
    <w:rsid w:val="00A056E0"/>
    <w:rsid w:val="00A06584"/>
    <w:rsid w:val="00A10BA7"/>
    <w:rsid w:val="00A141AE"/>
    <w:rsid w:val="00A15A40"/>
    <w:rsid w:val="00A201C8"/>
    <w:rsid w:val="00A22BA5"/>
    <w:rsid w:val="00A25056"/>
    <w:rsid w:val="00A25D3D"/>
    <w:rsid w:val="00A33659"/>
    <w:rsid w:val="00A34900"/>
    <w:rsid w:val="00A46D52"/>
    <w:rsid w:val="00A537F1"/>
    <w:rsid w:val="00A53806"/>
    <w:rsid w:val="00A64B5D"/>
    <w:rsid w:val="00A64DF8"/>
    <w:rsid w:val="00A65D55"/>
    <w:rsid w:val="00A668A0"/>
    <w:rsid w:val="00A66EAE"/>
    <w:rsid w:val="00A75413"/>
    <w:rsid w:val="00A92515"/>
    <w:rsid w:val="00A97EEC"/>
    <w:rsid w:val="00AA3981"/>
    <w:rsid w:val="00AA6892"/>
    <w:rsid w:val="00AA6A7E"/>
    <w:rsid w:val="00AB3D63"/>
    <w:rsid w:val="00AC17FE"/>
    <w:rsid w:val="00AC2A47"/>
    <w:rsid w:val="00AD19D9"/>
    <w:rsid w:val="00AD3497"/>
    <w:rsid w:val="00AE4299"/>
    <w:rsid w:val="00AF02D8"/>
    <w:rsid w:val="00AF2A97"/>
    <w:rsid w:val="00AF3667"/>
    <w:rsid w:val="00AF5F49"/>
    <w:rsid w:val="00AF66C0"/>
    <w:rsid w:val="00B0090F"/>
    <w:rsid w:val="00B02828"/>
    <w:rsid w:val="00B03A6A"/>
    <w:rsid w:val="00B04DDA"/>
    <w:rsid w:val="00B05163"/>
    <w:rsid w:val="00B12EEB"/>
    <w:rsid w:val="00B2671B"/>
    <w:rsid w:val="00B27C18"/>
    <w:rsid w:val="00B36381"/>
    <w:rsid w:val="00B36F50"/>
    <w:rsid w:val="00B3797E"/>
    <w:rsid w:val="00B401A1"/>
    <w:rsid w:val="00B406BE"/>
    <w:rsid w:val="00B40EC2"/>
    <w:rsid w:val="00B42089"/>
    <w:rsid w:val="00B42854"/>
    <w:rsid w:val="00B4473B"/>
    <w:rsid w:val="00B46F11"/>
    <w:rsid w:val="00B47DB1"/>
    <w:rsid w:val="00B520D0"/>
    <w:rsid w:val="00B65546"/>
    <w:rsid w:val="00B82817"/>
    <w:rsid w:val="00B83B32"/>
    <w:rsid w:val="00B84716"/>
    <w:rsid w:val="00B91944"/>
    <w:rsid w:val="00B9198A"/>
    <w:rsid w:val="00B932E5"/>
    <w:rsid w:val="00B93A1D"/>
    <w:rsid w:val="00B97601"/>
    <w:rsid w:val="00BA0C58"/>
    <w:rsid w:val="00BA2502"/>
    <w:rsid w:val="00BA39BF"/>
    <w:rsid w:val="00BA7472"/>
    <w:rsid w:val="00BB2130"/>
    <w:rsid w:val="00BB5EDE"/>
    <w:rsid w:val="00BC127B"/>
    <w:rsid w:val="00BC30EA"/>
    <w:rsid w:val="00BC4603"/>
    <w:rsid w:val="00BD48F1"/>
    <w:rsid w:val="00BD6423"/>
    <w:rsid w:val="00BE52FE"/>
    <w:rsid w:val="00BF7D82"/>
    <w:rsid w:val="00C04964"/>
    <w:rsid w:val="00C12F29"/>
    <w:rsid w:val="00C22E17"/>
    <w:rsid w:val="00C27650"/>
    <w:rsid w:val="00C31BA1"/>
    <w:rsid w:val="00C43F27"/>
    <w:rsid w:val="00C465E2"/>
    <w:rsid w:val="00C533D1"/>
    <w:rsid w:val="00C576C8"/>
    <w:rsid w:val="00C662EE"/>
    <w:rsid w:val="00C71C82"/>
    <w:rsid w:val="00C72397"/>
    <w:rsid w:val="00C735C3"/>
    <w:rsid w:val="00C74C85"/>
    <w:rsid w:val="00C77FF0"/>
    <w:rsid w:val="00C80900"/>
    <w:rsid w:val="00C8203A"/>
    <w:rsid w:val="00C861DA"/>
    <w:rsid w:val="00C87E7C"/>
    <w:rsid w:val="00C94938"/>
    <w:rsid w:val="00C97FE8"/>
    <w:rsid w:val="00CB3AD7"/>
    <w:rsid w:val="00CB4BC7"/>
    <w:rsid w:val="00CC0AB9"/>
    <w:rsid w:val="00CC2A5B"/>
    <w:rsid w:val="00CD57E4"/>
    <w:rsid w:val="00CD6279"/>
    <w:rsid w:val="00CF129D"/>
    <w:rsid w:val="00D00485"/>
    <w:rsid w:val="00D0502A"/>
    <w:rsid w:val="00D060B6"/>
    <w:rsid w:val="00D10548"/>
    <w:rsid w:val="00D10F69"/>
    <w:rsid w:val="00D14425"/>
    <w:rsid w:val="00D24535"/>
    <w:rsid w:val="00D30514"/>
    <w:rsid w:val="00D350F1"/>
    <w:rsid w:val="00D40B7D"/>
    <w:rsid w:val="00D41817"/>
    <w:rsid w:val="00D41BED"/>
    <w:rsid w:val="00D46E37"/>
    <w:rsid w:val="00D503B5"/>
    <w:rsid w:val="00D51663"/>
    <w:rsid w:val="00D54E99"/>
    <w:rsid w:val="00D63028"/>
    <w:rsid w:val="00D634D9"/>
    <w:rsid w:val="00D667EE"/>
    <w:rsid w:val="00D738EF"/>
    <w:rsid w:val="00D86CF3"/>
    <w:rsid w:val="00D90A37"/>
    <w:rsid w:val="00D967D3"/>
    <w:rsid w:val="00DA1598"/>
    <w:rsid w:val="00DA2309"/>
    <w:rsid w:val="00DB0313"/>
    <w:rsid w:val="00DB0D2D"/>
    <w:rsid w:val="00DB2A94"/>
    <w:rsid w:val="00DB34D2"/>
    <w:rsid w:val="00DB7100"/>
    <w:rsid w:val="00DB76DC"/>
    <w:rsid w:val="00DC0AA0"/>
    <w:rsid w:val="00DC45A1"/>
    <w:rsid w:val="00DC4A53"/>
    <w:rsid w:val="00DC6353"/>
    <w:rsid w:val="00DD47B7"/>
    <w:rsid w:val="00DD69A0"/>
    <w:rsid w:val="00DE2462"/>
    <w:rsid w:val="00DE4086"/>
    <w:rsid w:val="00DF6FAB"/>
    <w:rsid w:val="00DF73F1"/>
    <w:rsid w:val="00E034AB"/>
    <w:rsid w:val="00E066C5"/>
    <w:rsid w:val="00E14BFD"/>
    <w:rsid w:val="00E17456"/>
    <w:rsid w:val="00E317B6"/>
    <w:rsid w:val="00E3321F"/>
    <w:rsid w:val="00E33730"/>
    <w:rsid w:val="00E34784"/>
    <w:rsid w:val="00E61F41"/>
    <w:rsid w:val="00E64D18"/>
    <w:rsid w:val="00E65933"/>
    <w:rsid w:val="00E659F9"/>
    <w:rsid w:val="00E75686"/>
    <w:rsid w:val="00E75707"/>
    <w:rsid w:val="00E777E8"/>
    <w:rsid w:val="00E77B92"/>
    <w:rsid w:val="00E9041F"/>
    <w:rsid w:val="00E95EE5"/>
    <w:rsid w:val="00EB08BF"/>
    <w:rsid w:val="00EB2827"/>
    <w:rsid w:val="00EB6C71"/>
    <w:rsid w:val="00EB7D19"/>
    <w:rsid w:val="00EC19B4"/>
    <w:rsid w:val="00EC405E"/>
    <w:rsid w:val="00EC5DD0"/>
    <w:rsid w:val="00ED4520"/>
    <w:rsid w:val="00ED649A"/>
    <w:rsid w:val="00EE6AED"/>
    <w:rsid w:val="00EF1168"/>
    <w:rsid w:val="00EF39EC"/>
    <w:rsid w:val="00EF6701"/>
    <w:rsid w:val="00F00B7B"/>
    <w:rsid w:val="00F06800"/>
    <w:rsid w:val="00F118EC"/>
    <w:rsid w:val="00F12212"/>
    <w:rsid w:val="00F16B3C"/>
    <w:rsid w:val="00F261B3"/>
    <w:rsid w:val="00F33A8B"/>
    <w:rsid w:val="00F340F6"/>
    <w:rsid w:val="00F463BE"/>
    <w:rsid w:val="00F4741E"/>
    <w:rsid w:val="00F54721"/>
    <w:rsid w:val="00F554DB"/>
    <w:rsid w:val="00F60E1E"/>
    <w:rsid w:val="00F67306"/>
    <w:rsid w:val="00F67466"/>
    <w:rsid w:val="00F705EB"/>
    <w:rsid w:val="00F73A7D"/>
    <w:rsid w:val="00F7404A"/>
    <w:rsid w:val="00F76EAC"/>
    <w:rsid w:val="00F81B69"/>
    <w:rsid w:val="00F824BE"/>
    <w:rsid w:val="00F94C23"/>
    <w:rsid w:val="00F97433"/>
    <w:rsid w:val="00FA4014"/>
    <w:rsid w:val="00FA5806"/>
    <w:rsid w:val="00FA67F3"/>
    <w:rsid w:val="00FA77CD"/>
    <w:rsid w:val="00FD49E0"/>
    <w:rsid w:val="00FD7301"/>
    <w:rsid w:val="00FE09E7"/>
    <w:rsid w:val="00FE3EC9"/>
    <w:rsid w:val="00FE4234"/>
    <w:rsid w:val="00FE4763"/>
    <w:rsid w:val="00FE55CE"/>
    <w:rsid w:val="00FE7302"/>
    <w:rsid w:val="00FF62BE"/>
    <w:rsid w:val="7C1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37FF"/>
  <w15:docId w15:val="{AA1CB060-0893-4FEF-915A-52873C5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226"/>
  </w:style>
  <w:style w:type="paragraph" w:styleId="Heading1">
    <w:name w:val="heading 1"/>
    <w:basedOn w:val="Normal"/>
    <w:next w:val="Normal"/>
    <w:link w:val="Heading1Char"/>
    <w:uiPriority w:val="9"/>
    <w:qFormat/>
    <w:rsid w:val="00B36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034AB"/>
    <w:pPr>
      <w:spacing w:after="0" w:line="240" w:lineRule="auto"/>
    </w:pPr>
    <w:rPr>
      <w:rFonts w:eastAsia="PMingLiU"/>
      <w:szCs w:val="28"/>
      <w:lang w:val="en-GB" w:eastAsia="zh-TW" w:bidi="as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CharCharCharChar1">
    <w:name w:val="Footnote Text Char Char Char Char1"/>
    <w:basedOn w:val="Normal"/>
    <w:next w:val="FootnoteText"/>
    <w:uiPriority w:val="99"/>
    <w:unhideWhenUsed/>
    <w:rsid w:val="00E034AB"/>
    <w:pPr>
      <w:spacing w:after="0" w:line="240" w:lineRule="auto"/>
    </w:pPr>
    <w:rPr>
      <w:rFonts w:eastAsia="PMingLiU"/>
      <w:sz w:val="20"/>
      <w:szCs w:val="25"/>
      <w:lang w:val="en-GB" w:eastAsia="zh-TW" w:bidi="as-IN"/>
    </w:rPr>
  </w:style>
  <w:style w:type="character" w:customStyle="1" w:styleId="FootnoteTextChar">
    <w:name w:val="Footnote Text Char"/>
    <w:aliases w:val=" Char Char1, Char Char Char,Char Char1,Char Char Char,ft Char,ADB Char,single space Char,Footnote Text Char Char Char Char Char"/>
    <w:basedOn w:val="DefaultParagraphFont"/>
    <w:uiPriority w:val="99"/>
    <w:rsid w:val="00E034A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E034AB"/>
    <w:rPr>
      <w:vertAlign w:val="superscript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0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E034AB"/>
  </w:style>
  <w:style w:type="character" w:styleId="Emphasis">
    <w:name w:val="Emphasis"/>
    <w:basedOn w:val="DefaultParagraphFont"/>
    <w:uiPriority w:val="20"/>
    <w:qFormat/>
    <w:rsid w:val="00E034AB"/>
    <w:rPr>
      <w:i/>
      <w:iCs/>
    </w:rPr>
  </w:style>
  <w:style w:type="paragraph" w:customStyle="1" w:styleId="footnotedescription">
    <w:name w:val="footnote description"/>
    <w:next w:val="Normal"/>
    <w:link w:val="footnotedescriptionChar"/>
    <w:hidden/>
    <w:rsid w:val="00E034AB"/>
    <w:pPr>
      <w:spacing w:after="0"/>
    </w:pPr>
    <w:rPr>
      <w:rFonts w:ascii="Times New Roman" w:eastAsia="Times New Roman" w:hAnsi="Times New Roman" w:cs="Times New Roman"/>
      <w:color w:val="000000"/>
      <w:sz w:val="20"/>
      <w:szCs w:val="28"/>
      <w:lang w:val="en-GB" w:eastAsia="zh-TW" w:bidi="as-IN"/>
    </w:rPr>
  </w:style>
  <w:style w:type="character" w:customStyle="1" w:styleId="footnotedescriptionChar">
    <w:name w:val="footnote description Char"/>
    <w:link w:val="footnotedescription"/>
    <w:rsid w:val="00E034AB"/>
    <w:rPr>
      <w:rFonts w:ascii="Times New Roman" w:eastAsia="Times New Roman" w:hAnsi="Times New Roman" w:cs="Times New Roman"/>
      <w:color w:val="000000"/>
      <w:sz w:val="20"/>
      <w:szCs w:val="28"/>
      <w:lang w:val="en-GB" w:eastAsia="zh-TW" w:bidi="as-IN"/>
    </w:rPr>
  </w:style>
  <w:style w:type="character" w:customStyle="1" w:styleId="footnotemark">
    <w:name w:val="footnote mark"/>
    <w:hidden/>
    <w:rsid w:val="00E034A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E034AB"/>
    <w:pPr>
      <w:spacing w:after="0" w:line="240" w:lineRule="auto"/>
    </w:pPr>
    <w:rPr>
      <w:rFonts w:eastAsia="PMingLiU"/>
      <w:szCs w:val="28"/>
      <w:lang w:val="en-GB" w:eastAsia="zh-TW" w:bidi="as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0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E034AB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E034AB"/>
    <w:rPr>
      <w:sz w:val="20"/>
      <w:szCs w:val="20"/>
    </w:rPr>
  </w:style>
  <w:style w:type="paragraph" w:styleId="Footer">
    <w:name w:val="footer"/>
    <w:basedOn w:val="Normal"/>
    <w:link w:val="FooterChar1"/>
    <w:uiPriority w:val="99"/>
    <w:unhideWhenUsed/>
    <w:rsid w:val="00E03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E034AB"/>
  </w:style>
  <w:style w:type="paragraph" w:styleId="BalloonText">
    <w:name w:val="Balloon Text"/>
    <w:basedOn w:val="Normal"/>
    <w:link w:val="BalloonTextChar"/>
    <w:uiPriority w:val="99"/>
    <w:semiHidden/>
    <w:unhideWhenUsed/>
    <w:rsid w:val="00AA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3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5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22E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E13"/>
  </w:style>
  <w:style w:type="paragraph" w:styleId="EndnoteText">
    <w:name w:val="endnote text"/>
    <w:basedOn w:val="Normal"/>
    <w:link w:val="EndnoteTextChar"/>
    <w:uiPriority w:val="99"/>
    <w:semiHidden/>
    <w:unhideWhenUsed/>
    <w:rsid w:val="00353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2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532E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04C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6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36F50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F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6F5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36F50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link w:val="ColorfulList-Accent1Char"/>
    <w:qFormat/>
    <w:rsid w:val="00224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basedOn w:val="DefaultParagraphFont"/>
    <w:link w:val="ColorfulList-Accent11"/>
    <w:rsid w:val="00224E5A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E6C76"/>
    <w:pPr>
      <w:spacing w:after="100"/>
    </w:pPr>
  </w:style>
  <w:style w:type="paragraph" w:styleId="Revision">
    <w:name w:val="Revision"/>
    <w:hidden/>
    <w:uiPriority w:val="99"/>
    <w:semiHidden/>
    <w:rsid w:val="00F7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1E9B-09CC-41D9-B100-9E5CF4F1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9392</Words>
  <Characters>53540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62807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Lubura Lucic</dc:creator>
  <cp:keywords/>
  <dc:description/>
  <cp:lastModifiedBy>MP BiH TŠ</cp:lastModifiedBy>
  <cp:revision>2</cp:revision>
  <cp:lastPrinted>2022-08-24T09:08:00Z</cp:lastPrinted>
  <dcterms:created xsi:type="dcterms:W3CDTF">2022-08-24T09:08:00Z</dcterms:created>
  <dcterms:modified xsi:type="dcterms:W3CDTF">2022-08-24T09:08:00Z</dcterms:modified>
</cp:coreProperties>
</file>